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ADDEA">
      <w:pPr>
        <w:spacing w:line="560" w:lineRule="exact"/>
        <w:rPr>
          <w:rFonts w:ascii="宋体" w:hAnsi="宋体" w:eastAsia="宋体" w:cs="宋体"/>
          <w:bCs/>
          <w:sz w:val="28"/>
          <w:szCs w:val="28"/>
        </w:rPr>
      </w:pPr>
    </w:p>
    <w:p w14:paraId="7B072CF7">
      <w:pPr>
        <w:pStyle w:val="2"/>
        <w:keepNext w:val="0"/>
        <w:keepLines w:val="0"/>
        <w:spacing w:before="0" w:after="0" w:line="360" w:lineRule="auto"/>
        <w:ind w:firstLine="708" w:firstLineChars="196"/>
        <w:jc w:val="center"/>
        <w:rPr>
          <w:rFonts w:hint="eastAsia" w:ascii="宋体" w:hAnsi="宋体" w:eastAsia="宋体" w:cs="宋体"/>
          <w:color w:val="000000" w:themeColor="text1"/>
          <w:sz w:val="36"/>
          <w:szCs w:val="36"/>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综合评分</w:t>
      </w:r>
    </w:p>
    <w:p w14:paraId="79348581">
      <w:pPr>
        <w:pStyle w:val="3"/>
        <w:spacing w:before="0" w:after="0" w:line="360" w:lineRule="auto"/>
        <w:ind w:firstLine="420" w:firstLineChars="200"/>
        <w:rPr>
          <w:rFonts w:hint="eastAsia" w:ascii="宋体" w:hAnsi="宋体" w:cs="宋体"/>
          <w:b w:val="0"/>
          <w:color w:val="000000" w:themeColor="text1"/>
          <w:sz w:val="21"/>
          <w:szCs w:val="21"/>
          <w:lang w:val="en-US" w:eastAsia="zh-CN"/>
          <w14:textFill>
            <w14:solidFill>
              <w14:schemeClr w14:val="tx1"/>
            </w14:solidFill>
          </w14:textFill>
        </w:rPr>
      </w:pPr>
    </w:p>
    <w:p w14:paraId="6694CC40">
      <w:pPr>
        <w:pStyle w:val="3"/>
        <w:spacing w:before="0" w:after="0" w:line="360" w:lineRule="auto"/>
        <w:ind w:firstLine="420" w:firstLineChars="200"/>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cs="宋体"/>
          <w:b w:val="0"/>
          <w:color w:val="000000" w:themeColor="text1"/>
          <w:sz w:val="21"/>
          <w:szCs w:val="21"/>
          <w:lang w:val="en-US" w:eastAsia="zh-CN"/>
          <w14:textFill>
            <w14:solidFill>
              <w14:schemeClr w14:val="tx1"/>
            </w14:solidFill>
          </w14:textFill>
        </w:rPr>
        <w:t>1</w:t>
      </w:r>
      <w:r>
        <w:rPr>
          <w:rFonts w:hint="eastAsia" w:ascii="宋体" w:hAnsi="宋体" w:cs="宋体"/>
          <w:b w:val="0"/>
          <w:color w:val="000000" w:themeColor="text1"/>
          <w:sz w:val="21"/>
          <w:szCs w:val="21"/>
          <w:lang w:eastAsia="zh-CN"/>
          <w14:textFill>
            <w14:solidFill>
              <w14:schemeClr w14:val="tx1"/>
            </w14:solidFill>
          </w14:textFill>
        </w:rPr>
        <w:t>、</w:t>
      </w:r>
      <w:r>
        <w:rPr>
          <w:rFonts w:hint="eastAsia" w:ascii="宋体" w:hAnsi="宋体" w:eastAsia="宋体" w:cs="宋体"/>
          <w:b w:val="0"/>
          <w:color w:val="000000" w:themeColor="text1"/>
          <w:sz w:val="21"/>
          <w:szCs w:val="21"/>
          <w14:textFill>
            <w14:solidFill>
              <w14:schemeClr w14:val="tx1"/>
            </w14:solidFill>
          </w14:textFill>
        </w:rPr>
        <w:t>本次综合评分的因素详见综合评分明细表。</w:t>
      </w:r>
    </w:p>
    <w:p w14:paraId="491DF2A9">
      <w:pPr>
        <w:pStyle w:val="3"/>
        <w:spacing w:before="0" w:after="0" w:line="360" w:lineRule="auto"/>
        <w:ind w:firstLine="420" w:firstLineChars="200"/>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2</w:t>
      </w:r>
      <w:r>
        <w:rPr>
          <w:rFonts w:hint="eastAsia" w:ascii="宋体" w:hAnsi="宋体" w:cs="宋体"/>
          <w:b w:val="0"/>
          <w:color w:val="000000" w:themeColor="text1"/>
          <w:sz w:val="21"/>
          <w:szCs w:val="21"/>
          <w:lang w:eastAsia="zh-CN"/>
          <w14:textFill>
            <w14:solidFill>
              <w14:schemeClr w14:val="tx1"/>
            </w14:solidFill>
          </w14:textFill>
        </w:rPr>
        <w:t>、</w:t>
      </w:r>
      <w:r>
        <w:rPr>
          <w:rFonts w:hint="eastAsia" w:ascii="宋体" w:hAnsi="宋体" w:eastAsia="宋体" w:cs="宋体"/>
          <w:b w:val="0"/>
          <w:color w:val="000000" w:themeColor="text1"/>
          <w:sz w:val="21"/>
          <w:szCs w:val="21"/>
          <w14:textFill>
            <w14:solidFill>
              <w14:schemeClr w14:val="tx1"/>
            </w14:solidFill>
          </w14:textFill>
        </w:rPr>
        <w:t>综合评分明细表</w:t>
      </w:r>
    </w:p>
    <w:p w14:paraId="75A1BB0C">
      <w:pPr>
        <w:widowControl/>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2.1综合评分明细表按须知表中的相关要求进行价格调整，再参与价格分评审。</w:t>
      </w:r>
    </w:p>
    <w:p w14:paraId="3AB4A622">
      <w:pPr>
        <w:widowControl/>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2.2综合评分明细表</w:t>
      </w:r>
    </w:p>
    <w:tbl>
      <w:tblPr>
        <w:tblStyle w:val="8"/>
        <w:tblW w:w="870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067"/>
        <w:gridCol w:w="820"/>
        <w:gridCol w:w="5280"/>
        <w:gridCol w:w="888"/>
      </w:tblGrid>
      <w:tr w14:paraId="64D1C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650" w:type="dxa"/>
            <w:vAlign w:val="center"/>
          </w:tcPr>
          <w:p w14:paraId="28EAA026">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067" w:type="dxa"/>
            <w:vAlign w:val="center"/>
          </w:tcPr>
          <w:p w14:paraId="3257C813">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评分因素</w:t>
            </w:r>
          </w:p>
        </w:tc>
        <w:tc>
          <w:tcPr>
            <w:tcW w:w="820" w:type="dxa"/>
            <w:vAlign w:val="center"/>
          </w:tcPr>
          <w:p w14:paraId="392F8F1B">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分值</w:t>
            </w:r>
          </w:p>
        </w:tc>
        <w:tc>
          <w:tcPr>
            <w:tcW w:w="5280" w:type="dxa"/>
            <w:vAlign w:val="center"/>
          </w:tcPr>
          <w:p w14:paraId="2B3C3015">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评分标准</w:t>
            </w:r>
          </w:p>
        </w:tc>
        <w:tc>
          <w:tcPr>
            <w:tcW w:w="888" w:type="dxa"/>
            <w:vAlign w:val="center"/>
          </w:tcPr>
          <w:p w14:paraId="3108B23D">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说明</w:t>
            </w:r>
          </w:p>
        </w:tc>
      </w:tr>
      <w:tr w14:paraId="0E07F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650" w:type="dxa"/>
            <w:vAlign w:val="center"/>
          </w:tcPr>
          <w:p w14:paraId="037D1203">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1067" w:type="dxa"/>
            <w:vAlign w:val="center"/>
          </w:tcPr>
          <w:p w14:paraId="270AFC95">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价格分</w:t>
            </w:r>
          </w:p>
        </w:tc>
        <w:tc>
          <w:tcPr>
            <w:tcW w:w="820" w:type="dxa"/>
            <w:vAlign w:val="center"/>
          </w:tcPr>
          <w:p w14:paraId="13600E99">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分</w:t>
            </w:r>
          </w:p>
        </w:tc>
        <w:tc>
          <w:tcPr>
            <w:tcW w:w="5280" w:type="dxa"/>
            <w:vAlign w:val="center"/>
          </w:tcPr>
          <w:p w14:paraId="04B3CE1D">
            <w:pPr>
              <w:keepNext w:val="0"/>
              <w:keepLines w:val="0"/>
              <w:suppressLineNumbers w:val="0"/>
              <w:spacing w:before="159" w:beforeLines="50" w:beforeAutospacing="0" w:after="159" w:afterLines="50" w:afterAutospacing="0" w:line="360" w:lineRule="auto"/>
              <w:ind w:left="0" w:right="0"/>
              <w:jc w:val="both"/>
              <w:rPr>
                <w:rFonts w:hint="eastAsia" w:ascii="宋体" w:hAnsi="宋体" w:eastAsia="宋体" w:cs="宋体"/>
                <w:sz w:val="21"/>
                <w:szCs w:val="21"/>
              </w:rPr>
            </w:pPr>
            <w:r>
              <w:rPr>
                <w:rFonts w:hint="eastAsia" w:ascii="宋体" w:hAnsi="宋体" w:eastAsia="宋体" w:cs="宋体"/>
                <w:sz w:val="21"/>
                <w:szCs w:val="21"/>
              </w:rPr>
              <w:t>满足招标文件要求且折扣率最低的报价为基准价，其价格分为满分。 其他供应商的价格分统一按照下列公式计算：报价得分=（基准价/报价）*</w:t>
            </w:r>
            <w:r>
              <w:rPr>
                <w:rFonts w:hint="eastAsia" w:ascii="宋体" w:hAnsi="宋体" w:cs="宋体"/>
                <w:sz w:val="21"/>
                <w:szCs w:val="21"/>
                <w:lang w:val="en-US" w:eastAsia="zh-CN"/>
              </w:rPr>
              <w:t>1</w:t>
            </w:r>
            <w:r>
              <w:rPr>
                <w:rFonts w:hint="eastAsia" w:ascii="宋体" w:hAnsi="宋体" w:eastAsia="宋体" w:cs="宋体"/>
                <w:sz w:val="21"/>
                <w:szCs w:val="21"/>
              </w:rPr>
              <w:t>0%*100。</w:t>
            </w:r>
          </w:p>
        </w:tc>
        <w:tc>
          <w:tcPr>
            <w:tcW w:w="888" w:type="dxa"/>
            <w:vAlign w:val="center"/>
          </w:tcPr>
          <w:p w14:paraId="2DE94DAD">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p>
        </w:tc>
      </w:tr>
      <w:tr w14:paraId="1208A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2" w:hRule="atLeast"/>
          <w:jc w:val="center"/>
        </w:trPr>
        <w:tc>
          <w:tcPr>
            <w:tcW w:w="650" w:type="dxa"/>
            <w:vAlign w:val="center"/>
          </w:tcPr>
          <w:p w14:paraId="42081BD3">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2</w:t>
            </w:r>
          </w:p>
        </w:tc>
        <w:tc>
          <w:tcPr>
            <w:tcW w:w="1067" w:type="dxa"/>
            <w:vAlign w:val="center"/>
          </w:tcPr>
          <w:p w14:paraId="0B4D0AD5">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项目实施方案</w:t>
            </w:r>
          </w:p>
        </w:tc>
        <w:tc>
          <w:tcPr>
            <w:tcW w:w="820" w:type="dxa"/>
            <w:vAlign w:val="center"/>
          </w:tcPr>
          <w:p w14:paraId="1BEAD7F1">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5280" w:type="dxa"/>
            <w:vAlign w:val="center"/>
          </w:tcPr>
          <w:p w14:paraId="5EAF2D68">
            <w:pPr>
              <w:keepNext w:val="0"/>
              <w:keepLines w:val="0"/>
              <w:suppressLineNumbers w:val="0"/>
              <w:spacing w:before="0" w:beforeAutospacing="0" w:after="0" w:afterAutospacing="0" w:line="360" w:lineRule="auto"/>
              <w:ind w:left="0" w:right="0" w:firstLine="28"/>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sz w:val="21"/>
                <w:szCs w:val="21"/>
              </w:rPr>
              <w:t>根据</w:t>
            </w:r>
            <w:r>
              <w:rPr>
                <w:rFonts w:hint="eastAsia" w:ascii="宋体" w:hAnsi="宋体" w:cs="宋体"/>
                <w:color w:val="000000" w:themeColor="text1"/>
                <w:kern w:val="2"/>
                <w:sz w:val="21"/>
                <w:szCs w:val="21"/>
                <w:lang w:val="en-US" w:eastAsia="zh-CN" w:bidi="ar-SA"/>
                <w14:textFill>
                  <w14:solidFill>
                    <w14:schemeClr w14:val="tx1"/>
                  </w14:solidFill>
                </w14:textFill>
              </w:rPr>
              <w:t>供应商</w:t>
            </w:r>
            <w:r>
              <w:rPr>
                <w:rFonts w:hint="eastAsia" w:ascii="宋体" w:hAnsi="宋体" w:eastAsia="宋体" w:cs="宋体"/>
                <w:sz w:val="21"/>
                <w:szCs w:val="21"/>
              </w:rPr>
              <w:t>提供的项目实施方案进行综合评分，项目实施方案包括：①为本项目配送的配送人员清单及人员管理措施；②配送时效保障措施；③配送整体流程（至少包含物品出入库记录、装卸货、到货清查、物品签收表）；④配送安全管理制度（含人员安全培训、 安全责任划分）；⑤如遇试剂、耗材、卫生临床等安全突发事件的应急处理流程；⑥产品遵循的规定及标准说明；⑦供应商的采购流程及保存仓储条件；⑧对服务产品的质量保障措施及出现不合格产品的处理及服务产品的可溯源方案。</w:t>
            </w:r>
            <w:r>
              <w:rPr>
                <w:rFonts w:hint="eastAsia" w:ascii="宋体" w:hAnsi="宋体" w:eastAsia="宋体" w:cs="宋体"/>
                <w:color w:val="000000" w:themeColor="text1"/>
                <w:sz w:val="21"/>
                <w:szCs w:val="21"/>
                <w14:textFill>
                  <w14:solidFill>
                    <w14:schemeClr w14:val="tx1"/>
                  </w14:solidFill>
                </w14:textFill>
              </w:rPr>
              <w:t>完整提供上述</w:t>
            </w:r>
            <w:r>
              <w:rPr>
                <w:rFonts w:hint="eastAsia" w:ascii="宋体" w:hAnsi="宋体" w:eastAsia="宋体" w:cs="宋体"/>
                <w:color w:val="000000" w:themeColor="text1"/>
                <w:sz w:val="21"/>
                <w:szCs w:val="21"/>
                <w:lang w:val="en-US" w:eastAsia="zh-CN"/>
                <w14:textFill>
                  <w14:solidFill>
                    <w14:schemeClr w14:val="tx1"/>
                  </w14:solidFill>
                </w14:textFill>
              </w:rPr>
              <w:t>8</w:t>
            </w:r>
            <w:r>
              <w:rPr>
                <w:rFonts w:hint="eastAsia" w:ascii="宋体" w:hAnsi="宋体" w:eastAsia="宋体" w:cs="宋体"/>
                <w:color w:val="000000" w:themeColor="text1"/>
                <w:sz w:val="21"/>
                <w:szCs w:val="21"/>
                <w14:textFill>
                  <w14:solidFill>
                    <w14:schemeClr w14:val="tx1"/>
                  </w14:solidFill>
                </w14:textFill>
              </w:rPr>
              <w:t>项内容的得</w:t>
            </w:r>
            <w:r>
              <w:rPr>
                <w:rFonts w:hint="eastAsia" w:ascii="宋体" w:hAnsi="宋体" w:eastAsia="宋体" w:cs="宋体"/>
                <w:color w:val="000000" w:themeColor="text1"/>
                <w:sz w:val="21"/>
                <w:szCs w:val="21"/>
                <w:lang w:val="en-US" w:eastAsia="zh-CN"/>
                <w14:textFill>
                  <w14:solidFill>
                    <w14:schemeClr w14:val="tx1"/>
                  </w14:solidFill>
                </w14:textFill>
              </w:rPr>
              <w:t>48</w:t>
            </w:r>
            <w:r>
              <w:rPr>
                <w:rFonts w:hint="eastAsia" w:ascii="宋体" w:hAnsi="宋体" w:eastAsia="宋体" w:cs="宋体"/>
                <w:color w:val="000000" w:themeColor="text1"/>
                <w:sz w:val="21"/>
                <w:szCs w:val="21"/>
                <w14:textFill>
                  <w14:solidFill>
                    <w14:schemeClr w14:val="tx1"/>
                  </w14:solidFill>
                </w14:textFill>
              </w:rPr>
              <w:t>分；每有一项未提供扣</w:t>
            </w:r>
            <w:r>
              <w:rPr>
                <w:rFonts w:hint="eastAsia" w:ascii="宋体" w:hAnsi="宋体" w:eastAsia="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分，扣完为止；每有一处有缺陷扣</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分，单项分值扣完为止。</w:t>
            </w:r>
          </w:p>
          <w:p w14:paraId="38F8C0DE">
            <w:pPr>
              <w:keepNext w:val="0"/>
              <w:keepLines w:val="0"/>
              <w:suppressLineNumbers w:val="0"/>
              <w:spacing w:before="159" w:beforeLines="50" w:beforeAutospacing="0" w:after="159" w:afterLines="50" w:afterAutospacing="0" w:line="360" w:lineRule="auto"/>
              <w:ind w:left="0" w:right="0"/>
              <w:jc w:val="both"/>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（缺陷是指存在项目名称错误、地点区域错误、内容与本项目需求无关、方案内容矛盾、仅有框架或标题、适用的标准（方法）错误、明显复制其他项目内容等任意一种情形）</w:t>
            </w:r>
          </w:p>
        </w:tc>
        <w:tc>
          <w:tcPr>
            <w:tcW w:w="888" w:type="dxa"/>
            <w:vAlign w:val="center"/>
          </w:tcPr>
          <w:p w14:paraId="622A5E2E">
            <w:pPr>
              <w:keepNext w:val="0"/>
              <w:keepLines w:val="0"/>
              <w:suppressLineNumbers w:val="0"/>
              <w:spacing w:before="159" w:beforeLines="50" w:beforeAutospacing="0" w:after="159" w:afterLines="50" w:afterAutospacing="0" w:line="360" w:lineRule="auto"/>
              <w:ind w:left="0" w:right="0"/>
              <w:rPr>
                <w:rFonts w:hint="eastAsia" w:ascii="宋体" w:hAnsi="宋体" w:eastAsia="宋体" w:cs="宋体"/>
                <w:sz w:val="21"/>
                <w:szCs w:val="21"/>
              </w:rPr>
            </w:pPr>
          </w:p>
        </w:tc>
      </w:tr>
      <w:tr w14:paraId="4F8D4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650" w:type="dxa"/>
            <w:vAlign w:val="center"/>
          </w:tcPr>
          <w:p w14:paraId="0D073E33">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3</w:t>
            </w:r>
          </w:p>
        </w:tc>
        <w:tc>
          <w:tcPr>
            <w:tcW w:w="1067" w:type="dxa"/>
            <w:vAlign w:val="center"/>
          </w:tcPr>
          <w:p w14:paraId="6814F3C8">
            <w:pPr>
              <w:keepNext w:val="0"/>
              <w:keepLines w:val="0"/>
              <w:suppressLineNumbers w:val="0"/>
              <w:spacing w:before="0" w:beforeAutospacing="0" w:after="0" w:afterAutospacing="0" w:line="360" w:lineRule="auto"/>
              <w:ind w:left="0" w:leftChars="0" w:right="0" w:rightChars="0" w:firstLine="28" w:firstLineChars="0"/>
              <w:jc w:val="center"/>
              <w:rPr>
                <w:rFonts w:hint="eastAsia" w:ascii="宋体" w:hAnsi="宋体" w:eastAsia="宋体" w:cs="宋体"/>
                <w:sz w:val="21"/>
                <w:szCs w:val="21"/>
              </w:rPr>
            </w:pPr>
            <w:r>
              <w:rPr>
                <w:rFonts w:hint="eastAsia" w:ascii="宋体" w:hAnsi="宋体" w:eastAsia="宋体" w:cs="宋体"/>
                <w:color w:val="000000" w:themeColor="text1"/>
                <w:sz w:val="21"/>
                <w:szCs w:val="21"/>
                <w:lang w:val="en-US" w:eastAsia="zh-CN"/>
                <w14:textFill>
                  <w14:solidFill>
                    <w14:schemeClr w14:val="tx1"/>
                  </w14:solidFill>
                </w14:textFill>
              </w:rPr>
              <w:t>售后服务方案</w:t>
            </w:r>
          </w:p>
        </w:tc>
        <w:tc>
          <w:tcPr>
            <w:tcW w:w="820" w:type="dxa"/>
            <w:vAlign w:val="center"/>
          </w:tcPr>
          <w:p w14:paraId="368107A1">
            <w:pPr>
              <w:keepNext w:val="0"/>
              <w:keepLines w:val="0"/>
              <w:suppressLineNumbers w:val="0"/>
              <w:spacing w:before="0" w:beforeAutospacing="0" w:after="0" w:afterAutospacing="0" w:line="360" w:lineRule="auto"/>
              <w:ind w:left="0" w:leftChars="0" w:right="0" w:rightChars="0" w:firstLine="28" w:firstLineChars="0"/>
              <w:jc w:val="center"/>
              <w:rPr>
                <w:rFonts w:hint="eastAsia" w:ascii="宋体" w:hAnsi="宋体" w:eastAsia="宋体" w:cs="宋体"/>
                <w:sz w:val="21"/>
                <w:szCs w:val="21"/>
              </w:rPr>
            </w:pPr>
            <w:r>
              <w:rPr>
                <w:rFonts w:hint="eastAsia" w:ascii="宋体" w:hAnsi="宋体" w:eastAsia="宋体" w:cs="宋体"/>
                <w:color w:val="000000" w:themeColor="text1"/>
                <w:sz w:val="21"/>
                <w:szCs w:val="21"/>
                <w:lang w:val="en-US" w:eastAsia="zh-CN"/>
                <w14:textFill>
                  <w14:solidFill>
                    <w14:schemeClr w14:val="tx1"/>
                  </w14:solidFill>
                </w14:textFill>
              </w:rPr>
              <w:t>24分</w:t>
            </w:r>
          </w:p>
        </w:tc>
        <w:tc>
          <w:tcPr>
            <w:tcW w:w="5280" w:type="dxa"/>
            <w:vAlign w:val="center"/>
          </w:tcPr>
          <w:p w14:paraId="0F228610">
            <w:pPr>
              <w:keepNext w:val="0"/>
              <w:keepLines w:val="0"/>
              <w:suppressLineNumbers w:val="0"/>
              <w:spacing w:before="0" w:beforeAutospacing="0" w:after="0" w:afterAutospacing="0" w:line="360" w:lineRule="auto"/>
              <w:ind w:left="0" w:right="0" w:firstLine="28"/>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根据供应商提供的售后服务方案进行评审，该内容至少包含：①售后服务方案；②响应时间；③保障措施；④回访方案。完整提供上述</w:t>
            </w:r>
            <w:r>
              <w:rPr>
                <w:rFonts w:hint="eastAsia" w:ascii="宋体" w:hAnsi="宋体" w:eastAsia="宋体" w:cs="宋体"/>
                <w:color w:val="000000" w:themeColor="text1"/>
                <w:sz w:val="21"/>
                <w:szCs w:val="21"/>
                <w:lang w:val="en-US" w:eastAsia="zh-CN"/>
                <w14:textFill>
                  <w14:solidFill>
                    <w14:schemeClr w14:val="tx1"/>
                  </w14:solidFill>
                </w14:textFill>
              </w:rPr>
              <w:t>4</w:t>
            </w:r>
            <w:r>
              <w:rPr>
                <w:rFonts w:hint="eastAsia" w:ascii="宋体" w:hAnsi="宋体" w:eastAsia="宋体" w:cs="宋体"/>
                <w:color w:val="000000" w:themeColor="text1"/>
                <w:sz w:val="21"/>
                <w:szCs w:val="21"/>
                <w14:textFill>
                  <w14:solidFill>
                    <w14:schemeClr w14:val="tx1"/>
                  </w14:solidFill>
                </w14:textFill>
              </w:rPr>
              <w:t>项内容的得</w:t>
            </w:r>
            <w:r>
              <w:rPr>
                <w:rFonts w:hint="eastAsia" w:ascii="宋体" w:hAnsi="宋体" w:eastAsia="宋体" w:cs="宋体"/>
                <w:color w:val="000000" w:themeColor="text1"/>
                <w:sz w:val="21"/>
                <w:szCs w:val="21"/>
                <w:lang w:val="en-US" w:eastAsia="zh-CN"/>
                <w14:textFill>
                  <w14:solidFill>
                    <w14:schemeClr w14:val="tx1"/>
                  </w14:solidFill>
                </w14:textFill>
              </w:rPr>
              <w:t>24</w:t>
            </w:r>
            <w:r>
              <w:rPr>
                <w:rFonts w:hint="eastAsia" w:ascii="宋体" w:hAnsi="宋体" w:eastAsia="宋体" w:cs="宋体"/>
                <w:color w:val="000000" w:themeColor="text1"/>
                <w:sz w:val="21"/>
                <w:szCs w:val="21"/>
                <w14:textFill>
                  <w14:solidFill>
                    <w14:schemeClr w14:val="tx1"/>
                  </w14:solidFill>
                </w14:textFill>
              </w:rPr>
              <w:t>分；每有一项未提供扣</w:t>
            </w:r>
            <w:r>
              <w:rPr>
                <w:rFonts w:hint="eastAsia" w:ascii="宋体" w:hAnsi="宋体" w:eastAsia="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分，扣完为止；每有一处有缺陷扣</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分，单项分值扣完为止。</w:t>
            </w:r>
          </w:p>
          <w:p w14:paraId="0A60BABA">
            <w:pPr>
              <w:keepNext w:val="0"/>
              <w:keepLines w:val="0"/>
              <w:suppressLineNumbers w:val="0"/>
              <w:spacing w:before="0" w:beforeAutospacing="0" w:after="0" w:afterAutospacing="0" w:line="360" w:lineRule="auto"/>
              <w:ind w:left="0" w:leftChars="0" w:right="0" w:rightChars="0" w:firstLine="28" w:firstLineChars="0"/>
              <w:jc w:val="both"/>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（缺陷是指存在项目名称错误、地点区域错误、内容与本项目需求无关、方案内容矛盾、仅有框架或标题、适用的标准（方法）错误、明显复制其他项目内容等任意一种情形）</w:t>
            </w:r>
          </w:p>
        </w:tc>
        <w:tc>
          <w:tcPr>
            <w:tcW w:w="888" w:type="dxa"/>
            <w:vAlign w:val="center"/>
          </w:tcPr>
          <w:p w14:paraId="5502D37A">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p>
        </w:tc>
      </w:tr>
      <w:tr w14:paraId="40D5A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0" w:hRule="atLeast"/>
          <w:jc w:val="center"/>
        </w:trPr>
        <w:tc>
          <w:tcPr>
            <w:tcW w:w="650" w:type="dxa"/>
            <w:vAlign w:val="center"/>
          </w:tcPr>
          <w:p w14:paraId="7FD499F8">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4</w:t>
            </w:r>
          </w:p>
        </w:tc>
        <w:tc>
          <w:tcPr>
            <w:tcW w:w="1067" w:type="dxa"/>
            <w:vAlign w:val="center"/>
          </w:tcPr>
          <w:p w14:paraId="086B2AA1">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履约能力</w:t>
            </w:r>
          </w:p>
        </w:tc>
        <w:tc>
          <w:tcPr>
            <w:tcW w:w="820" w:type="dxa"/>
            <w:vAlign w:val="center"/>
          </w:tcPr>
          <w:p w14:paraId="008313AC">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5280" w:type="dxa"/>
            <w:vAlign w:val="center"/>
          </w:tcPr>
          <w:p w14:paraId="12304467">
            <w:pPr>
              <w:keepNext w:val="0"/>
              <w:keepLines w:val="0"/>
              <w:suppressLineNumbers w:val="0"/>
              <w:spacing w:before="159" w:beforeLines="50" w:beforeAutospacing="0" w:after="159" w:afterLines="50" w:afterAutospacing="0" w:line="360" w:lineRule="auto"/>
              <w:ind w:left="0" w:right="0"/>
              <w:jc w:val="both"/>
              <w:rPr>
                <w:rFonts w:hint="eastAsia" w:ascii="宋体" w:hAnsi="宋体" w:eastAsia="宋体" w:cs="宋体"/>
                <w:sz w:val="21"/>
                <w:szCs w:val="21"/>
              </w:rPr>
            </w:pPr>
            <w:r>
              <w:rPr>
                <w:rFonts w:hint="eastAsia" w:ascii="宋体" w:hAnsi="宋体" w:eastAsia="宋体" w:cs="宋体"/>
                <w:sz w:val="21"/>
                <w:szCs w:val="21"/>
              </w:rPr>
              <w:t>根据供应商类似业绩（202</w:t>
            </w:r>
            <w:r>
              <w:rPr>
                <w:rFonts w:hint="eastAsia" w:ascii="宋体" w:hAnsi="宋体" w:cs="宋体"/>
                <w:sz w:val="21"/>
                <w:szCs w:val="21"/>
                <w:lang w:val="en-US" w:eastAsia="zh-CN"/>
              </w:rPr>
              <w:t>3</w:t>
            </w:r>
            <w:r>
              <w:rPr>
                <w:rFonts w:hint="eastAsia" w:ascii="宋体" w:hAnsi="宋体" w:eastAsia="宋体" w:cs="宋体"/>
                <w:sz w:val="21"/>
                <w:szCs w:val="21"/>
              </w:rPr>
              <w:t>年1月1日至递交</w:t>
            </w:r>
            <w:r>
              <w:rPr>
                <w:rFonts w:hint="eastAsia" w:ascii="宋体" w:hAnsi="宋体" w:cs="宋体"/>
                <w:sz w:val="21"/>
                <w:szCs w:val="21"/>
                <w:lang w:val="en-US" w:eastAsia="zh-CN"/>
              </w:rPr>
              <w:t>响应</w:t>
            </w:r>
            <w:r>
              <w:rPr>
                <w:rFonts w:hint="eastAsia" w:ascii="宋体" w:hAnsi="宋体" w:eastAsia="宋体" w:cs="宋体"/>
                <w:sz w:val="21"/>
                <w:szCs w:val="21"/>
              </w:rPr>
              <w:t>文件截止日）进行评定，每提供一个业绩得</w:t>
            </w:r>
            <w:r>
              <w:rPr>
                <w:rFonts w:hint="eastAsia" w:ascii="宋体" w:hAnsi="宋体" w:eastAsia="宋体" w:cs="宋体"/>
                <w:sz w:val="21"/>
                <w:szCs w:val="21"/>
                <w:lang w:val="en-US" w:eastAsia="zh-CN"/>
              </w:rPr>
              <w:t>6</w:t>
            </w:r>
            <w:r>
              <w:rPr>
                <w:rFonts w:hint="eastAsia" w:ascii="宋体" w:hAnsi="宋体" w:eastAsia="宋体" w:cs="宋体"/>
                <w:sz w:val="21"/>
                <w:szCs w:val="21"/>
              </w:rPr>
              <w:t>分，最多得1</w:t>
            </w:r>
            <w:r>
              <w:rPr>
                <w:rFonts w:hint="eastAsia" w:ascii="宋体" w:hAnsi="宋体" w:eastAsia="宋体" w:cs="宋体"/>
                <w:sz w:val="21"/>
                <w:szCs w:val="21"/>
                <w:lang w:val="en-US" w:eastAsia="zh-CN"/>
              </w:rPr>
              <w:t>8</w:t>
            </w:r>
            <w:r>
              <w:rPr>
                <w:rFonts w:hint="eastAsia" w:ascii="宋体" w:hAnsi="宋体" w:eastAsia="宋体" w:cs="宋体"/>
                <w:sz w:val="21"/>
                <w:szCs w:val="21"/>
              </w:rPr>
              <w:t>分。</w:t>
            </w:r>
          </w:p>
          <w:p w14:paraId="442F4021">
            <w:pPr>
              <w:keepNext w:val="0"/>
              <w:keepLines w:val="0"/>
              <w:suppressLineNumbers w:val="0"/>
              <w:spacing w:before="159" w:beforeLines="50" w:beforeAutospacing="0" w:after="159" w:afterLines="50" w:afterAutospacing="0" w:line="360" w:lineRule="auto"/>
              <w:ind w:left="0" w:right="0"/>
              <w:jc w:val="both"/>
              <w:rPr>
                <w:rFonts w:hint="eastAsia" w:ascii="宋体" w:hAnsi="宋体" w:eastAsia="宋体" w:cs="宋体"/>
                <w:sz w:val="21"/>
                <w:szCs w:val="21"/>
              </w:rPr>
            </w:pPr>
            <w:r>
              <w:rPr>
                <w:rFonts w:hint="eastAsia" w:ascii="宋体" w:hAnsi="宋体" w:eastAsia="宋体" w:cs="宋体"/>
                <w:sz w:val="21"/>
                <w:szCs w:val="21"/>
              </w:rPr>
              <w:t>注：提供类似业绩相对应的合同或中标（成交）通知书复印件，未提供的不得分。</w:t>
            </w:r>
          </w:p>
        </w:tc>
        <w:tc>
          <w:tcPr>
            <w:tcW w:w="888" w:type="dxa"/>
            <w:vAlign w:val="center"/>
          </w:tcPr>
          <w:p w14:paraId="37F47BCC">
            <w:pPr>
              <w:keepNext w:val="0"/>
              <w:keepLines w:val="0"/>
              <w:suppressLineNumbers w:val="0"/>
              <w:spacing w:before="159" w:beforeLines="50" w:beforeAutospacing="0" w:after="159" w:afterLines="50" w:afterAutospacing="0" w:line="360" w:lineRule="auto"/>
              <w:ind w:left="0" w:right="0"/>
              <w:jc w:val="center"/>
              <w:rPr>
                <w:rFonts w:hint="eastAsia" w:ascii="宋体" w:hAnsi="宋体" w:eastAsia="宋体" w:cs="宋体"/>
                <w:sz w:val="21"/>
                <w:szCs w:val="21"/>
              </w:rPr>
            </w:pPr>
          </w:p>
        </w:tc>
      </w:tr>
    </w:tbl>
    <w:p w14:paraId="35F07F48">
      <w:pPr>
        <w:spacing w:line="360" w:lineRule="auto"/>
        <w:rPr>
          <w:rFonts w:hint="eastAsia" w:ascii="宋体" w:hAnsi="宋体" w:eastAsia="宋体" w:cs="宋体"/>
          <w:color w:val="000000" w:themeColor="text1"/>
          <w:szCs w:val="21"/>
          <w14:textFill>
            <w14:solidFill>
              <w14:schemeClr w14:val="tx1"/>
            </w14:solidFill>
          </w14:textFill>
        </w:rPr>
      </w:pPr>
    </w:p>
    <w:p w14:paraId="46D9B0B0">
      <w:pPr>
        <w:spacing w:line="360" w:lineRule="auto"/>
        <w:ind w:firstLine="315" w:firstLineChars="15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注：评分的取值按四舍五入法，保留小数点后两位。</w:t>
      </w:r>
    </w:p>
    <w:p w14:paraId="48A0ED9E">
      <w:pPr>
        <w:widowControl/>
        <w:spacing w:line="600" w:lineRule="exact"/>
        <w:ind w:firstLine="5060" w:firstLineChars="1800"/>
        <w:rPr>
          <w:rFonts w:ascii="宋体" w:hAnsi="宋体" w:eastAsia="宋体" w:cs="宋体"/>
          <w:b/>
          <w:sz w:val="28"/>
          <w:szCs w:val="28"/>
        </w:rPr>
      </w:pPr>
    </w:p>
    <w:p w14:paraId="39999D70">
      <w:pPr>
        <w:widowControl/>
        <w:spacing w:line="600" w:lineRule="exact"/>
        <w:ind w:firstLine="5060" w:firstLineChars="1800"/>
        <w:rPr>
          <w:rFonts w:ascii="宋体" w:hAnsi="宋体" w:eastAsia="宋体" w:cs="宋体"/>
          <w:b/>
          <w:sz w:val="28"/>
          <w:szCs w:val="28"/>
        </w:rPr>
      </w:pPr>
      <w:bookmarkStart w:id="0" w:name="_GoBack"/>
      <w:bookmarkEnd w:id="0"/>
    </w:p>
    <w:sectPr>
      <w:footerReference r:id="rId3" w:type="default"/>
      <w:pgSz w:w="11906" w:h="16838"/>
      <w:pgMar w:top="1080" w:right="1440" w:bottom="1080" w:left="1440" w:header="851" w:footer="992" w:gutter="0"/>
      <w:pgNumType w:fmt="numberInDash"/>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AC0B2">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9801DE2">
                          <w:pPr>
                            <w:pStyle w:val="5"/>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- 1 -</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59801DE2">
                    <w:pPr>
                      <w:pStyle w:val="5"/>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- 1 -</w:t>
                    </w:r>
                    <w:r>
                      <w:rPr>
                        <w:rFonts w:hint="eastAsia" w:asciiTheme="minorEastAsia" w:hAnsi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xM2MxYThlMzZkZTQ3N2NmNjI0NGQzYmY4NmIwNjMifQ=="/>
  </w:docVars>
  <w:rsids>
    <w:rsidRoot w:val="00092EC3"/>
    <w:rsid w:val="0000113B"/>
    <w:rsid w:val="00050133"/>
    <w:rsid w:val="00092EC3"/>
    <w:rsid w:val="000A2A00"/>
    <w:rsid w:val="00107D47"/>
    <w:rsid w:val="001249EC"/>
    <w:rsid w:val="001A689A"/>
    <w:rsid w:val="001C48D1"/>
    <w:rsid w:val="00264C0C"/>
    <w:rsid w:val="00380732"/>
    <w:rsid w:val="00421EA9"/>
    <w:rsid w:val="004E4CA4"/>
    <w:rsid w:val="005F0338"/>
    <w:rsid w:val="00601F33"/>
    <w:rsid w:val="0060412A"/>
    <w:rsid w:val="00675759"/>
    <w:rsid w:val="00754B1B"/>
    <w:rsid w:val="00783C7E"/>
    <w:rsid w:val="007B4185"/>
    <w:rsid w:val="00823AB9"/>
    <w:rsid w:val="008C108F"/>
    <w:rsid w:val="009E29ED"/>
    <w:rsid w:val="00A0094A"/>
    <w:rsid w:val="00AD16A1"/>
    <w:rsid w:val="00AF5EB4"/>
    <w:rsid w:val="00B65FD8"/>
    <w:rsid w:val="00B86ECF"/>
    <w:rsid w:val="00C845DF"/>
    <w:rsid w:val="00CD46C7"/>
    <w:rsid w:val="00DC6FF0"/>
    <w:rsid w:val="00E47382"/>
    <w:rsid w:val="00EA3811"/>
    <w:rsid w:val="01161B44"/>
    <w:rsid w:val="01463BB4"/>
    <w:rsid w:val="0166407A"/>
    <w:rsid w:val="01907D33"/>
    <w:rsid w:val="01FD01AF"/>
    <w:rsid w:val="02976AA1"/>
    <w:rsid w:val="02C83582"/>
    <w:rsid w:val="034B01B8"/>
    <w:rsid w:val="03723C86"/>
    <w:rsid w:val="038826C3"/>
    <w:rsid w:val="03FA6C01"/>
    <w:rsid w:val="04050F67"/>
    <w:rsid w:val="04095BF3"/>
    <w:rsid w:val="04A612E5"/>
    <w:rsid w:val="04F65798"/>
    <w:rsid w:val="04F817FC"/>
    <w:rsid w:val="04FB1A70"/>
    <w:rsid w:val="052619B5"/>
    <w:rsid w:val="059231A9"/>
    <w:rsid w:val="05A47EEB"/>
    <w:rsid w:val="05E970EC"/>
    <w:rsid w:val="06235488"/>
    <w:rsid w:val="068C5756"/>
    <w:rsid w:val="06A60875"/>
    <w:rsid w:val="06A70021"/>
    <w:rsid w:val="06DA166A"/>
    <w:rsid w:val="07032BCB"/>
    <w:rsid w:val="071470BA"/>
    <w:rsid w:val="07350869"/>
    <w:rsid w:val="07B53DDD"/>
    <w:rsid w:val="07DD4033"/>
    <w:rsid w:val="07EC7AF1"/>
    <w:rsid w:val="080C5710"/>
    <w:rsid w:val="082519DE"/>
    <w:rsid w:val="0831627B"/>
    <w:rsid w:val="08B66347"/>
    <w:rsid w:val="08FD489A"/>
    <w:rsid w:val="0989609F"/>
    <w:rsid w:val="09963DB7"/>
    <w:rsid w:val="09AC7B3B"/>
    <w:rsid w:val="09EB6863"/>
    <w:rsid w:val="0A075232"/>
    <w:rsid w:val="0A1C4E91"/>
    <w:rsid w:val="0A663308"/>
    <w:rsid w:val="0AA46F19"/>
    <w:rsid w:val="0AB078B8"/>
    <w:rsid w:val="0B0E425F"/>
    <w:rsid w:val="0B210CE6"/>
    <w:rsid w:val="0B542EF7"/>
    <w:rsid w:val="0B544CF2"/>
    <w:rsid w:val="0BA63CD9"/>
    <w:rsid w:val="0BD53797"/>
    <w:rsid w:val="0C430FA1"/>
    <w:rsid w:val="0C6E49D1"/>
    <w:rsid w:val="0C7A407B"/>
    <w:rsid w:val="0C7C397B"/>
    <w:rsid w:val="0CA55BB6"/>
    <w:rsid w:val="0CCD2B72"/>
    <w:rsid w:val="0D7652F9"/>
    <w:rsid w:val="0DB15DCE"/>
    <w:rsid w:val="0DD5484C"/>
    <w:rsid w:val="0E2D5312"/>
    <w:rsid w:val="0E516259"/>
    <w:rsid w:val="0E611848"/>
    <w:rsid w:val="0E8C7368"/>
    <w:rsid w:val="0E935C15"/>
    <w:rsid w:val="0EB06358"/>
    <w:rsid w:val="0F1F2DC3"/>
    <w:rsid w:val="0F291BAF"/>
    <w:rsid w:val="0F540333"/>
    <w:rsid w:val="0FA009CE"/>
    <w:rsid w:val="10206607"/>
    <w:rsid w:val="107978BA"/>
    <w:rsid w:val="109C7992"/>
    <w:rsid w:val="10E500E9"/>
    <w:rsid w:val="11164452"/>
    <w:rsid w:val="11654DAC"/>
    <w:rsid w:val="11A400E4"/>
    <w:rsid w:val="11A949A2"/>
    <w:rsid w:val="11F04D80"/>
    <w:rsid w:val="123C0F7F"/>
    <w:rsid w:val="126A4AB5"/>
    <w:rsid w:val="12852BE4"/>
    <w:rsid w:val="1291271B"/>
    <w:rsid w:val="12D50105"/>
    <w:rsid w:val="133E7359"/>
    <w:rsid w:val="13B01FC2"/>
    <w:rsid w:val="13B50F13"/>
    <w:rsid w:val="13E53E27"/>
    <w:rsid w:val="1417663F"/>
    <w:rsid w:val="14193543"/>
    <w:rsid w:val="14531B07"/>
    <w:rsid w:val="14536325"/>
    <w:rsid w:val="15691D64"/>
    <w:rsid w:val="161E46C1"/>
    <w:rsid w:val="16407C0F"/>
    <w:rsid w:val="16654F69"/>
    <w:rsid w:val="167B46B5"/>
    <w:rsid w:val="167D6DE6"/>
    <w:rsid w:val="16FE0025"/>
    <w:rsid w:val="170125B9"/>
    <w:rsid w:val="176D4547"/>
    <w:rsid w:val="177D1136"/>
    <w:rsid w:val="178E4B14"/>
    <w:rsid w:val="17991239"/>
    <w:rsid w:val="17C03F8F"/>
    <w:rsid w:val="18057765"/>
    <w:rsid w:val="18147BC5"/>
    <w:rsid w:val="18182399"/>
    <w:rsid w:val="18897D26"/>
    <w:rsid w:val="18DA0291"/>
    <w:rsid w:val="18DD2E11"/>
    <w:rsid w:val="192A543D"/>
    <w:rsid w:val="19522D2F"/>
    <w:rsid w:val="197F7B8B"/>
    <w:rsid w:val="199C1ED0"/>
    <w:rsid w:val="1A207BBB"/>
    <w:rsid w:val="1A30248F"/>
    <w:rsid w:val="1A53370C"/>
    <w:rsid w:val="1A800593"/>
    <w:rsid w:val="1ACA3C44"/>
    <w:rsid w:val="1AEE00D1"/>
    <w:rsid w:val="1B0C05DC"/>
    <w:rsid w:val="1B3B2220"/>
    <w:rsid w:val="1B770C0D"/>
    <w:rsid w:val="1B9A161E"/>
    <w:rsid w:val="1C063DCA"/>
    <w:rsid w:val="1CE759D4"/>
    <w:rsid w:val="1D306ECF"/>
    <w:rsid w:val="1D63712D"/>
    <w:rsid w:val="1D91217B"/>
    <w:rsid w:val="1D952B56"/>
    <w:rsid w:val="1D985514"/>
    <w:rsid w:val="1DB33F35"/>
    <w:rsid w:val="1E0A0FAA"/>
    <w:rsid w:val="1E37281E"/>
    <w:rsid w:val="1E37787D"/>
    <w:rsid w:val="1E68599C"/>
    <w:rsid w:val="1EA960E8"/>
    <w:rsid w:val="1EDA48D5"/>
    <w:rsid w:val="1EF734B3"/>
    <w:rsid w:val="1F8963AB"/>
    <w:rsid w:val="1FCD312F"/>
    <w:rsid w:val="1FF35ED5"/>
    <w:rsid w:val="20622E30"/>
    <w:rsid w:val="209E6163"/>
    <w:rsid w:val="20D21F17"/>
    <w:rsid w:val="20D32DE6"/>
    <w:rsid w:val="21115D3C"/>
    <w:rsid w:val="215C5C10"/>
    <w:rsid w:val="21815726"/>
    <w:rsid w:val="21B637EC"/>
    <w:rsid w:val="21CA423F"/>
    <w:rsid w:val="227508CC"/>
    <w:rsid w:val="227B1388"/>
    <w:rsid w:val="22800D1D"/>
    <w:rsid w:val="22A7354C"/>
    <w:rsid w:val="230E47C4"/>
    <w:rsid w:val="231A0131"/>
    <w:rsid w:val="23587BF4"/>
    <w:rsid w:val="23A36C13"/>
    <w:rsid w:val="23C9000C"/>
    <w:rsid w:val="23F0690F"/>
    <w:rsid w:val="24087ED0"/>
    <w:rsid w:val="242C2CEF"/>
    <w:rsid w:val="2473045D"/>
    <w:rsid w:val="24795009"/>
    <w:rsid w:val="249E1600"/>
    <w:rsid w:val="24AF5240"/>
    <w:rsid w:val="24C275DC"/>
    <w:rsid w:val="24E835BD"/>
    <w:rsid w:val="256254ED"/>
    <w:rsid w:val="25731E94"/>
    <w:rsid w:val="257F2FB5"/>
    <w:rsid w:val="25A81404"/>
    <w:rsid w:val="25BF2CB6"/>
    <w:rsid w:val="25C90323"/>
    <w:rsid w:val="25DA2D72"/>
    <w:rsid w:val="25FC4B27"/>
    <w:rsid w:val="267F5552"/>
    <w:rsid w:val="2699228A"/>
    <w:rsid w:val="26D832D7"/>
    <w:rsid w:val="26ED329F"/>
    <w:rsid w:val="26F664AB"/>
    <w:rsid w:val="27440566"/>
    <w:rsid w:val="27476CA6"/>
    <w:rsid w:val="27B477A2"/>
    <w:rsid w:val="27C06AC9"/>
    <w:rsid w:val="281B5F13"/>
    <w:rsid w:val="282B5428"/>
    <w:rsid w:val="28442656"/>
    <w:rsid w:val="28612781"/>
    <w:rsid w:val="287D3234"/>
    <w:rsid w:val="288D29E9"/>
    <w:rsid w:val="28FD3B59"/>
    <w:rsid w:val="292401D7"/>
    <w:rsid w:val="29337E58"/>
    <w:rsid w:val="293E653B"/>
    <w:rsid w:val="2962092A"/>
    <w:rsid w:val="296A31C0"/>
    <w:rsid w:val="29D81F01"/>
    <w:rsid w:val="29DA1328"/>
    <w:rsid w:val="2A3C1F63"/>
    <w:rsid w:val="2A522932"/>
    <w:rsid w:val="2A656889"/>
    <w:rsid w:val="2AB85F38"/>
    <w:rsid w:val="2AF17A7D"/>
    <w:rsid w:val="2B2B739F"/>
    <w:rsid w:val="2B733784"/>
    <w:rsid w:val="2B975F2D"/>
    <w:rsid w:val="2BD43127"/>
    <w:rsid w:val="2C090702"/>
    <w:rsid w:val="2D0B78AB"/>
    <w:rsid w:val="2D216F22"/>
    <w:rsid w:val="2D7854B6"/>
    <w:rsid w:val="2D7D5F58"/>
    <w:rsid w:val="2DAC3AB1"/>
    <w:rsid w:val="2DD12B62"/>
    <w:rsid w:val="2DEA1D78"/>
    <w:rsid w:val="2E004284"/>
    <w:rsid w:val="2E336CD8"/>
    <w:rsid w:val="2E3D418B"/>
    <w:rsid w:val="2EE36972"/>
    <w:rsid w:val="2EE416EF"/>
    <w:rsid w:val="2F570914"/>
    <w:rsid w:val="2F7A6410"/>
    <w:rsid w:val="2FCC7C33"/>
    <w:rsid w:val="304B2800"/>
    <w:rsid w:val="304B5D60"/>
    <w:rsid w:val="30773DA4"/>
    <w:rsid w:val="30B71DF3"/>
    <w:rsid w:val="30C272A6"/>
    <w:rsid w:val="30E00C52"/>
    <w:rsid w:val="312B1295"/>
    <w:rsid w:val="31C27949"/>
    <w:rsid w:val="31F42B7F"/>
    <w:rsid w:val="31F47EBF"/>
    <w:rsid w:val="31FF7BED"/>
    <w:rsid w:val="321F1C9C"/>
    <w:rsid w:val="32221DD1"/>
    <w:rsid w:val="32A36277"/>
    <w:rsid w:val="337E165A"/>
    <w:rsid w:val="33A84F68"/>
    <w:rsid w:val="34256EBC"/>
    <w:rsid w:val="343A7F11"/>
    <w:rsid w:val="3484134D"/>
    <w:rsid w:val="3484789A"/>
    <w:rsid w:val="34D50A42"/>
    <w:rsid w:val="35615CE7"/>
    <w:rsid w:val="35941D4A"/>
    <w:rsid w:val="35A73974"/>
    <w:rsid w:val="35BD3718"/>
    <w:rsid w:val="35BE2A2A"/>
    <w:rsid w:val="35C465D7"/>
    <w:rsid w:val="36542DA9"/>
    <w:rsid w:val="365B0E09"/>
    <w:rsid w:val="367527FE"/>
    <w:rsid w:val="36860A61"/>
    <w:rsid w:val="368B39BB"/>
    <w:rsid w:val="36A568D7"/>
    <w:rsid w:val="36AD03B7"/>
    <w:rsid w:val="36DD47D9"/>
    <w:rsid w:val="37384667"/>
    <w:rsid w:val="375C3674"/>
    <w:rsid w:val="37A7765D"/>
    <w:rsid w:val="37D813EF"/>
    <w:rsid w:val="38080A15"/>
    <w:rsid w:val="3814739A"/>
    <w:rsid w:val="38267C35"/>
    <w:rsid w:val="384E28DD"/>
    <w:rsid w:val="38782715"/>
    <w:rsid w:val="38F103E8"/>
    <w:rsid w:val="3918383D"/>
    <w:rsid w:val="39591BE3"/>
    <w:rsid w:val="395C5A58"/>
    <w:rsid w:val="39612F03"/>
    <w:rsid w:val="3976680E"/>
    <w:rsid w:val="399F042E"/>
    <w:rsid w:val="39B94C78"/>
    <w:rsid w:val="39BB36DD"/>
    <w:rsid w:val="3A2F3ACC"/>
    <w:rsid w:val="3A3930B8"/>
    <w:rsid w:val="3A3E1820"/>
    <w:rsid w:val="3A744E4F"/>
    <w:rsid w:val="3B142A18"/>
    <w:rsid w:val="3B7E4647"/>
    <w:rsid w:val="3BCC3F19"/>
    <w:rsid w:val="3BFB21C2"/>
    <w:rsid w:val="3C2C715C"/>
    <w:rsid w:val="3CAA0E85"/>
    <w:rsid w:val="3CDF75BE"/>
    <w:rsid w:val="3D5459E1"/>
    <w:rsid w:val="3D664890"/>
    <w:rsid w:val="3D79246F"/>
    <w:rsid w:val="3D91314E"/>
    <w:rsid w:val="3D9B12D8"/>
    <w:rsid w:val="3DA418EC"/>
    <w:rsid w:val="3E067584"/>
    <w:rsid w:val="3E2163CA"/>
    <w:rsid w:val="3EC62CE3"/>
    <w:rsid w:val="3F6A5EB5"/>
    <w:rsid w:val="3F717767"/>
    <w:rsid w:val="3F802D54"/>
    <w:rsid w:val="3FBC338A"/>
    <w:rsid w:val="3FE13DCA"/>
    <w:rsid w:val="3FE24427"/>
    <w:rsid w:val="400C54F6"/>
    <w:rsid w:val="40203D1C"/>
    <w:rsid w:val="40385771"/>
    <w:rsid w:val="408539F6"/>
    <w:rsid w:val="40BD7909"/>
    <w:rsid w:val="40DD50C2"/>
    <w:rsid w:val="41292857"/>
    <w:rsid w:val="417564BF"/>
    <w:rsid w:val="41A87ECF"/>
    <w:rsid w:val="41CC5EE6"/>
    <w:rsid w:val="42002847"/>
    <w:rsid w:val="424963E5"/>
    <w:rsid w:val="425A2828"/>
    <w:rsid w:val="427A2023"/>
    <w:rsid w:val="42A91E87"/>
    <w:rsid w:val="42FD657D"/>
    <w:rsid w:val="43011FDD"/>
    <w:rsid w:val="431602DF"/>
    <w:rsid w:val="43262B8A"/>
    <w:rsid w:val="434F7286"/>
    <w:rsid w:val="438A2252"/>
    <w:rsid w:val="43B64DA2"/>
    <w:rsid w:val="43FF1254"/>
    <w:rsid w:val="4416450F"/>
    <w:rsid w:val="44336A9E"/>
    <w:rsid w:val="44534FAE"/>
    <w:rsid w:val="446A4958"/>
    <w:rsid w:val="447B408D"/>
    <w:rsid w:val="44923FF2"/>
    <w:rsid w:val="44DB68D6"/>
    <w:rsid w:val="450A2E53"/>
    <w:rsid w:val="4554180D"/>
    <w:rsid w:val="4591667F"/>
    <w:rsid w:val="45AA2453"/>
    <w:rsid w:val="45D55E79"/>
    <w:rsid w:val="45DF77B7"/>
    <w:rsid w:val="461A3189"/>
    <w:rsid w:val="46A569BA"/>
    <w:rsid w:val="47152E52"/>
    <w:rsid w:val="47DD5D86"/>
    <w:rsid w:val="47E77501"/>
    <w:rsid w:val="480A37E1"/>
    <w:rsid w:val="480F107C"/>
    <w:rsid w:val="48396370"/>
    <w:rsid w:val="488D3977"/>
    <w:rsid w:val="48E7216B"/>
    <w:rsid w:val="48EB325D"/>
    <w:rsid w:val="48F821CA"/>
    <w:rsid w:val="49C7713E"/>
    <w:rsid w:val="49DB67A2"/>
    <w:rsid w:val="49EB5FF6"/>
    <w:rsid w:val="49F13037"/>
    <w:rsid w:val="4A0A00EB"/>
    <w:rsid w:val="4A0D53D8"/>
    <w:rsid w:val="4A1349AA"/>
    <w:rsid w:val="4A344B0A"/>
    <w:rsid w:val="4AE67E7E"/>
    <w:rsid w:val="4B145987"/>
    <w:rsid w:val="4B330DB8"/>
    <w:rsid w:val="4B92471D"/>
    <w:rsid w:val="4BEF7245"/>
    <w:rsid w:val="4C1B3A7F"/>
    <w:rsid w:val="4CEE536C"/>
    <w:rsid w:val="4CF7788C"/>
    <w:rsid w:val="4D2E74C1"/>
    <w:rsid w:val="4D557133"/>
    <w:rsid w:val="4D666A29"/>
    <w:rsid w:val="4D850C9A"/>
    <w:rsid w:val="4D86142C"/>
    <w:rsid w:val="4DC672FB"/>
    <w:rsid w:val="4E52368E"/>
    <w:rsid w:val="4EC31465"/>
    <w:rsid w:val="4EE644FC"/>
    <w:rsid w:val="4F0E1720"/>
    <w:rsid w:val="4F4E3526"/>
    <w:rsid w:val="4F6A6A98"/>
    <w:rsid w:val="4F6D20FB"/>
    <w:rsid w:val="4F7A4CFB"/>
    <w:rsid w:val="4F910F59"/>
    <w:rsid w:val="4F9C74D0"/>
    <w:rsid w:val="4FDF1EDE"/>
    <w:rsid w:val="501932B2"/>
    <w:rsid w:val="502040D4"/>
    <w:rsid w:val="50A41634"/>
    <w:rsid w:val="511073F8"/>
    <w:rsid w:val="518F516B"/>
    <w:rsid w:val="51BB5A9E"/>
    <w:rsid w:val="523733BF"/>
    <w:rsid w:val="525C2BDA"/>
    <w:rsid w:val="529E7557"/>
    <w:rsid w:val="52A633A9"/>
    <w:rsid w:val="52C222A9"/>
    <w:rsid w:val="52C8108F"/>
    <w:rsid w:val="53080D05"/>
    <w:rsid w:val="539A757E"/>
    <w:rsid w:val="53C91305"/>
    <w:rsid w:val="53CF31E4"/>
    <w:rsid w:val="53FF1AB8"/>
    <w:rsid w:val="541C0079"/>
    <w:rsid w:val="54417CD1"/>
    <w:rsid w:val="5448036B"/>
    <w:rsid w:val="546D0E57"/>
    <w:rsid w:val="547C430C"/>
    <w:rsid w:val="548B1AA4"/>
    <w:rsid w:val="55126C8A"/>
    <w:rsid w:val="55383377"/>
    <w:rsid w:val="5552218B"/>
    <w:rsid w:val="55E1369C"/>
    <w:rsid w:val="55F45D96"/>
    <w:rsid w:val="55F6457E"/>
    <w:rsid w:val="561B17AC"/>
    <w:rsid w:val="566604E7"/>
    <w:rsid w:val="56CF496B"/>
    <w:rsid w:val="573B5D82"/>
    <w:rsid w:val="576D4003"/>
    <w:rsid w:val="578200C8"/>
    <w:rsid w:val="57866A33"/>
    <w:rsid w:val="57C357DC"/>
    <w:rsid w:val="581975DA"/>
    <w:rsid w:val="58730476"/>
    <w:rsid w:val="58A2259F"/>
    <w:rsid w:val="58D812FF"/>
    <w:rsid w:val="58E44987"/>
    <w:rsid w:val="595A0E7D"/>
    <w:rsid w:val="598A75D3"/>
    <w:rsid w:val="5A205ADE"/>
    <w:rsid w:val="5A91458E"/>
    <w:rsid w:val="5AA36680"/>
    <w:rsid w:val="5AA4052C"/>
    <w:rsid w:val="5AC44397"/>
    <w:rsid w:val="5AD74769"/>
    <w:rsid w:val="5AE70BE0"/>
    <w:rsid w:val="5B1E15F3"/>
    <w:rsid w:val="5B3611AE"/>
    <w:rsid w:val="5B6906BB"/>
    <w:rsid w:val="5B762B37"/>
    <w:rsid w:val="5C1722E0"/>
    <w:rsid w:val="5C6A1CCB"/>
    <w:rsid w:val="5CB21141"/>
    <w:rsid w:val="5CDD1CDE"/>
    <w:rsid w:val="5D283A10"/>
    <w:rsid w:val="5D3B26CE"/>
    <w:rsid w:val="5DA87D14"/>
    <w:rsid w:val="5DFA1185"/>
    <w:rsid w:val="5E0E148A"/>
    <w:rsid w:val="5E347DCA"/>
    <w:rsid w:val="5E4E4D0C"/>
    <w:rsid w:val="5E654132"/>
    <w:rsid w:val="5E681829"/>
    <w:rsid w:val="5ED366B1"/>
    <w:rsid w:val="5EE05A28"/>
    <w:rsid w:val="5EF236E6"/>
    <w:rsid w:val="5FC85329"/>
    <w:rsid w:val="604E67BA"/>
    <w:rsid w:val="60B30FC0"/>
    <w:rsid w:val="60C22151"/>
    <w:rsid w:val="60C64B7D"/>
    <w:rsid w:val="60CC7BED"/>
    <w:rsid w:val="60E516F8"/>
    <w:rsid w:val="60F07C3C"/>
    <w:rsid w:val="613327FA"/>
    <w:rsid w:val="613B2B5A"/>
    <w:rsid w:val="621B0105"/>
    <w:rsid w:val="6247336A"/>
    <w:rsid w:val="6254567C"/>
    <w:rsid w:val="625E743F"/>
    <w:rsid w:val="62634E7B"/>
    <w:rsid w:val="629F680C"/>
    <w:rsid w:val="62D307F7"/>
    <w:rsid w:val="62DA4BDA"/>
    <w:rsid w:val="62F224FD"/>
    <w:rsid w:val="63682FF7"/>
    <w:rsid w:val="639A0A52"/>
    <w:rsid w:val="63A32C5D"/>
    <w:rsid w:val="63EA477D"/>
    <w:rsid w:val="649D4EBE"/>
    <w:rsid w:val="64B04680"/>
    <w:rsid w:val="651B00A0"/>
    <w:rsid w:val="654E7994"/>
    <w:rsid w:val="65BE15C6"/>
    <w:rsid w:val="65D92949"/>
    <w:rsid w:val="65E0633E"/>
    <w:rsid w:val="65EB1D95"/>
    <w:rsid w:val="662C6F26"/>
    <w:rsid w:val="666543C9"/>
    <w:rsid w:val="667567C6"/>
    <w:rsid w:val="66BE6034"/>
    <w:rsid w:val="66C2763B"/>
    <w:rsid w:val="673B5483"/>
    <w:rsid w:val="67B54932"/>
    <w:rsid w:val="67C27CF0"/>
    <w:rsid w:val="68467646"/>
    <w:rsid w:val="68F727D9"/>
    <w:rsid w:val="694A3069"/>
    <w:rsid w:val="69712E0D"/>
    <w:rsid w:val="697B0EFB"/>
    <w:rsid w:val="69852173"/>
    <w:rsid w:val="6ABD0099"/>
    <w:rsid w:val="6ADD2175"/>
    <w:rsid w:val="6B114204"/>
    <w:rsid w:val="6B1E1622"/>
    <w:rsid w:val="6B464DBF"/>
    <w:rsid w:val="6C10711B"/>
    <w:rsid w:val="6C610FE1"/>
    <w:rsid w:val="6C693AA9"/>
    <w:rsid w:val="6C7A0CEC"/>
    <w:rsid w:val="6C9460B2"/>
    <w:rsid w:val="6C9A2C83"/>
    <w:rsid w:val="6CE4409D"/>
    <w:rsid w:val="6D93713F"/>
    <w:rsid w:val="6DA103B3"/>
    <w:rsid w:val="6E310F21"/>
    <w:rsid w:val="6E4E3E4C"/>
    <w:rsid w:val="6E642A61"/>
    <w:rsid w:val="6EA927FA"/>
    <w:rsid w:val="6EBE2CE9"/>
    <w:rsid w:val="6EF91537"/>
    <w:rsid w:val="6F2119E2"/>
    <w:rsid w:val="6F57338B"/>
    <w:rsid w:val="6F5C226B"/>
    <w:rsid w:val="6FC777DF"/>
    <w:rsid w:val="6FF2528C"/>
    <w:rsid w:val="6FFC601D"/>
    <w:rsid w:val="6FFC6F3C"/>
    <w:rsid w:val="701365E3"/>
    <w:rsid w:val="70540066"/>
    <w:rsid w:val="70750A17"/>
    <w:rsid w:val="70EB346F"/>
    <w:rsid w:val="717A6ED1"/>
    <w:rsid w:val="72267D38"/>
    <w:rsid w:val="72292600"/>
    <w:rsid w:val="726B7369"/>
    <w:rsid w:val="72EC2B60"/>
    <w:rsid w:val="72F877BF"/>
    <w:rsid w:val="730404C6"/>
    <w:rsid w:val="73157C64"/>
    <w:rsid w:val="733E6719"/>
    <w:rsid w:val="73D12316"/>
    <w:rsid w:val="73E22B17"/>
    <w:rsid w:val="7401388B"/>
    <w:rsid w:val="7438381F"/>
    <w:rsid w:val="745D0A2B"/>
    <w:rsid w:val="747819CA"/>
    <w:rsid w:val="7491635B"/>
    <w:rsid w:val="749B42CA"/>
    <w:rsid w:val="75041DE4"/>
    <w:rsid w:val="751F5751"/>
    <w:rsid w:val="75F633A3"/>
    <w:rsid w:val="762B5B39"/>
    <w:rsid w:val="764F0CCB"/>
    <w:rsid w:val="76A02B1E"/>
    <w:rsid w:val="76F810F6"/>
    <w:rsid w:val="770E7286"/>
    <w:rsid w:val="77341B63"/>
    <w:rsid w:val="77590EDC"/>
    <w:rsid w:val="778D7D78"/>
    <w:rsid w:val="7831268C"/>
    <w:rsid w:val="784030A6"/>
    <w:rsid w:val="7870440C"/>
    <w:rsid w:val="799730F5"/>
    <w:rsid w:val="79E14242"/>
    <w:rsid w:val="79E87D2F"/>
    <w:rsid w:val="7A320CD4"/>
    <w:rsid w:val="7A9D53EE"/>
    <w:rsid w:val="7B30195E"/>
    <w:rsid w:val="7BE279FE"/>
    <w:rsid w:val="7C082AF7"/>
    <w:rsid w:val="7C0E7365"/>
    <w:rsid w:val="7C3E3834"/>
    <w:rsid w:val="7C975252"/>
    <w:rsid w:val="7CB51880"/>
    <w:rsid w:val="7CD21B64"/>
    <w:rsid w:val="7CE75403"/>
    <w:rsid w:val="7D575ED0"/>
    <w:rsid w:val="7D613EA6"/>
    <w:rsid w:val="7D9942E6"/>
    <w:rsid w:val="7D9D15AD"/>
    <w:rsid w:val="7D9D1F88"/>
    <w:rsid w:val="7DA12FCF"/>
    <w:rsid w:val="7DBF254E"/>
    <w:rsid w:val="7E2A3ECF"/>
    <w:rsid w:val="7E5120CC"/>
    <w:rsid w:val="7EDD3D03"/>
    <w:rsid w:val="7FAB6F8E"/>
    <w:rsid w:val="7FAC4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1"/>
    <w:pPr>
      <w:spacing w:before="154"/>
      <w:ind w:left="701"/>
      <w:jc w:val="left"/>
    </w:pPr>
    <w:rPr>
      <w:rFonts w:ascii="宋体" w:hAnsi="宋体"/>
      <w:kern w:val="0"/>
      <w:sz w:val="24"/>
      <w:lang w:eastAsia="en-US"/>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FollowedHyperlink"/>
    <w:basedOn w:val="10"/>
    <w:autoRedefine/>
    <w:qFormat/>
    <w:uiPriority w:val="0"/>
    <w:rPr>
      <w:color w:val="232323"/>
      <w:u w:val="none"/>
    </w:rPr>
  </w:style>
  <w:style w:type="character" w:styleId="12">
    <w:name w:val="Hyperlink"/>
    <w:basedOn w:val="10"/>
    <w:qFormat/>
    <w:uiPriority w:val="0"/>
    <w:rPr>
      <w:color w:val="232323"/>
      <w:u w:val="none"/>
    </w:rPr>
  </w:style>
  <w:style w:type="paragraph" w:customStyle="1" w:styleId="13">
    <w:name w:val="p0"/>
    <w:basedOn w:val="1"/>
    <w:qFormat/>
    <w:uiPriority w:val="0"/>
    <w:pPr>
      <w:widowControl/>
      <w:spacing w:beforeAutospacing="1" w:afterAutospacing="1"/>
      <w:jc w:val="left"/>
    </w:pPr>
    <w:rPr>
      <w:rFonts w:ascii="宋体" w:hAnsi="宋体" w:cs="宋体"/>
      <w:kern w:val="0"/>
      <w:sz w:val="24"/>
    </w:rPr>
  </w:style>
  <w:style w:type="character" w:customStyle="1" w:styleId="14">
    <w:name w:val="dqwz"/>
    <w:basedOn w:val="10"/>
    <w:autoRedefine/>
    <w:qFormat/>
    <w:uiPriority w:val="0"/>
  </w:style>
  <w:style w:type="character" w:customStyle="1" w:styleId="15">
    <w:name w:val="hd-icon2"/>
    <w:basedOn w:val="10"/>
    <w:qFormat/>
    <w:uiPriority w:val="0"/>
  </w:style>
  <w:style w:type="character" w:customStyle="1" w:styleId="16">
    <w:name w:val="hd-icon4"/>
    <w:basedOn w:val="10"/>
    <w:qFormat/>
    <w:uiPriority w:val="0"/>
  </w:style>
  <w:style w:type="character" w:customStyle="1" w:styleId="17">
    <w:name w:val="icon-xxgk"/>
    <w:basedOn w:val="10"/>
    <w:qFormat/>
    <w:uiPriority w:val="0"/>
  </w:style>
  <w:style w:type="character" w:customStyle="1" w:styleId="18">
    <w:name w:val="icon-xxgk1"/>
    <w:basedOn w:val="10"/>
    <w:autoRedefine/>
    <w:qFormat/>
    <w:uiPriority w:val="0"/>
  </w:style>
  <w:style w:type="character" w:customStyle="1" w:styleId="19">
    <w:name w:val="tit"/>
    <w:basedOn w:val="10"/>
    <w:qFormat/>
    <w:uiPriority w:val="0"/>
    <w:rPr>
      <w:color w:val="BD090C"/>
      <w:sz w:val="30"/>
      <w:szCs w:val="30"/>
    </w:rPr>
  </w:style>
  <w:style w:type="character" w:customStyle="1" w:styleId="20">
    <w:name w:val="tit1"/>
    <w:basedOn w:val="10"/>
    <w:qFormat/>
    <w:uiPriority w:val="0"/>
    <w:rPr>
      <w:sz w:val="24"/>
      <w:szCs w:val="24"/>
    </w:rPr>
  </w:style>
  <w:style w:type="character" w:customStyle="1" w:styleId="21">
    <w:name w:val="tit2"/>
    <w:basedOn w:val="10"/>
    <w:qFormat/>
    <w:uiPriority w:val="0"/>
    <w:rPr>
      <w:sz w:val="30"/>
      <w:szCs w:val="30"/>
    </w:rPr>
  </w:style>
  <w:style w:type="character" w:customStyle="1" w:styleId="22">
    <w:name w:val="hd-icon3"/>
    <w:basedOn w:val="10"/>
    <w:autoRedefine/>
    <w:qFormat/>
    <w:uiPriority w:val="0"/>
  </w:style>
  <w:style w:type="character" w:customStyle="1" w:styleId="23">
    <w:name w:val="icon-hdjl"/>
    <w:basedOn w:val="10"/>
    <w:autoRedefine/>
    <w:qFormat/>
    <w:uiPriority w:val="0"/>
  </w:style>
  <w:style w:type="character" w:customStyle="1" w:styleId="24">
    <w:name w:val="text2"/>
    <w:basedOn w:val="10"/>
    <w:qFormat/>
    <w:uiPriority w:val="0"/>
    <w:rPr>
      <w:color w:val="FFFFFF"/>
      <w:sz w:val="24"/>
      <w:szCs w:val="24"/>
      <w:shd w:val="clear" w:color="auto" w:fill="CC0407"/>
    </w:rPr>
  </w:style>
  <w:style w:type="character" w:customStyle="1" w:styleId="25">
    <w:name w:val="icon-bsfw"/>
    <w:basedOn w:val="10"/>
    <w:qFormat/>
    <w:uiPriority w:val="0"/>
  </w:style>
  <w:style w:type="character" w:customStyle="1" w:styleId="26">
    <w:name w:val="icon-bsfw1"/>
    <w:basedOn w:val="10"/>
    <w:qFormat/>
    <w:uiPriority w:val="0"/>
  </w:style>
  <w:style w:type="character" w:customStyle="1" w:styleId="27">
    <w:name w:val="zxft-tit"/>
    <w:basedOn w:val="10"/>
    <w:qFormat/>
    <w:uiPriority w:val="0"/>
    <w:rPr>
      <w:b/>
      <w:color w:val="CB0306"/>
      <w:sz w:val="24"/>
      <w:szCs w:val="24"/>
    </w:rPr>
  </w:style>
  <w:style w:type="character" w:customStyle="1" w:styleId="28">
    <w:name w:val="hd-icon1"/>
    <w:basedOn w:val="10"/>
    <w:qFormat/>
    <w:uiPriority w:val="0"/>
  </w:style>
  <w:style w:type="character" w:customStyle="1" w:styleId="29">
    <w:name w:val="tex"/>
    <w:basedOn w:val="10"/>
    <w:qFormat/>
    <w:uiPriority w:val="0"/>
    <w:rPr>
      <w:color w:val="CC0407"/>
      <w:sz w:val="22"/>
      <w:szCs w:val="22"/>
    </w:rPr>
  </w:style>
  <w:style w:type="character" w:customStyle="1" w:styleId="30">
    <w:name w:val="more4"/>
    <w:basedOn w:val="10"/>
    <w:qFormat/>
    <w:uiPriority w:val="0"/>
  </w:style>
  <w:style w:type="character" w:customStyle="1" w:styleId="31">
    <w:name w:val="icon-hdjl1"/>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47FBAF-0274-4EE9-B98A-2B301A3F141D}">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166</Words>
  <Characters>166</Characters>
  <Lines>2</Lines>
  <Paragraphs>1</Paragraphs>
  <TotalTime>2</TotalTime>
  <ScaleCrop>false</ScaleCrop>
  <LinksUpToDate>false</LinksUpToDate>
  <CharactersWithSpaces>313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2020-11-04T09:31:00Z</dcterms:created>
  <dc:creator>Admin</dc:creator>
  <cp:lastModifiedBy>永远不见</cp:lastModifiedBy>
  <cp:lastPrinted>2020-09-22T03:40:00Z</cp:lastPrinted>
  <dcterms:modified xsi:type="dcterms:W3CDTF">2026-09-15T03:19:05Z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CBBE677CA2524389B3952B970AF4C860</vt:lpwstr>
  </property>
  <property fmtid="{D5CDD505-2E9C-101B-9397-08002B2CF9AE}" pid="4" name="KSOTemplateDocerSaveRecord">
    <vt:lpwstr>eyJoZGlkIjoiMzM1NmZmNGEwMmVkNDU5ZjVkZGFmOGZmYzU3NWVlZjQiLCJ1c2VySWQiOiI0OTcyMTY0ODYifQ==</vt:lpwstr>
  </property>
</Properties>
</file>