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03D1E">
      <w:pPr>
        <w:ind w:left="0" w:leftChars="0" w:firstLine="0" w:firstLineChars="0"/>
        <w:jc w:val="both"/>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附件3</w:t>
      </w:r>
    </w:p>
    <w:p w14:paraId="07B037F9">
      <w:pPr>
        <w:ind w:left="0" w:leftChars="0" w:firstLine="0" w:firstLineChars="0"/>
        <w:jc w:val="center"/>
        <w:rPr>
          <w:rFonts w:hint="default" w:ascii="仿宋" w:hAnsi="仿宋" w:eastAsia="仿宋" w:cs="仿宋"/>
          <w:b/>
          <w:bCs/>
          <w:sz w:val="36"/>
          <w:szCs w:val="36"/>
          <w:lang w:val="en-US"/>
        </w:rPr>
      </w:pPr>
      <w:r>
        <w:rPr>
          <w:rFonts w:ascii="仿宋" w:hAnsi="仿宋" w:eastAsia="仿宋" w:cs="仿宋"/>
          <w:b/>
          <w:bCs/>
          <w:sz w:val="36"/>
          <w:szCs w:val="36"/>
        </w:rPr>
        <w:t>夹江</w:t>
      </w:r>
      <w:r>
        <w:rPr>
          <w:rFonts w:hint="eastAsia" w:ascii="仿宋" w:hAnsi="仿宋" w:eastAsia="仿宋" w:cs="仿宋"/>
          <w:b/>
          <w:bCs/>
          <w:sz w:val="36"/>
          <w:szCs w:val="36"/>
          <w:lang w:eastAsia="zh-CN"/>
        </w:rPr>
        <w:t>县妇幼保健</w:t>
      </w:r>
      <w:r>
        <w:rPr>
          <w:rFonts w:hint="eastAsia" w:ascii="仿宋" w:hAnsi="仿宋" w:eastAsia="仿宋" w:cs="仿宋"/>
          <w:b/>
          <w:bCs/>
          <w:sz w:val="36"/>
          <w:szCs w:val="36"/>
          <w:lang w:val="en-US" w:eastAsia="zh-CN"/>
        </w:rPr>
        <w:t>院 夹江县妇女儿童医院</w:t>
      </w:r>
    </w:p>
    <w:p w14:paraId="6E86F8C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rightChars="0"/>
        <w:jc w:val="center"/>
        <w:textAlignment w:val="auto"/>
        <w:rPr>
          <w:rFonts w:ascii="仿宋" w:hAnsi="仿宋" w:eastAsia="仿宋" w:cs="仿宋"/>
          <w:b/>
          <w:bCs/>
          <w:sz w:val="36"/>
          <w:szCs w:val="36"/>
        </w:rPr>
      </w:pPr>
      <w:r>
        <w:rPr>
          <w:rFonts w:hint="eastAsia" w:ascii="仿宋_GB2312" w:hAnsi="仿宋_GB2312" w:eastAsia="仿宋_GB2312" w:cs="仿宋_GB2312"/>
          <w:b/>
          <w:bCs/>
          <w:i w:val="0"/>
          <w:iCs w:val="0"/>
          <w:caps w:val="0"/>
          <w:spacing w:val="8"/>
          <w:sz w:val="36"/>
          <w:szCs w:val="36"/>
          <w:shd w:val="clear" w:fill="FFFFFF"/>
          <w:lang w:val="en-US" w:eastAsia="zh-CN"/>
        </w:rPr>
        <w:t>电梯维护及保养服务</w:t>
      </w:r>
      <w:r>
        <w:rPr>
          <w:rFonts w:hint="eastAsia" w:ascii="仿宋_GB2312" w:hAnsi="仿宋_GB2312" w:eastAsia="仿宋_GB2312" w:cs="仿宋_GB2312"/>
          <w:b/>
          <w:bCs/>
          <w:i w:val="0"/>
          <w:iCs w:val="0"/>
          <w:caps w:val="0"/>
          <w:color w:val="373737"/>
          <w:spacing w:val="0"/>
          <w:sz w:val="36"/>
          <w:szCs w:val="36"/>
          <w:shd w:val="clear" w:fill="FFFFFF"/>
          <w:vertAlign w:val="baseline"/>
          <w:lang w:val="en-US" w:eastAsia="zh-CN"/>
        </w:rPr>
        <w:t>采购项目</w:t>
      </w:r>
      <w:r>
        <w:rPr>
          <w:rFonts w:hint="eastAsia" w:ascii="仿宋" w:hAnsi="仿宋" w:eastAsia="仿宋" w:cs="仿宋"/>
          <w:b/>
          <w:bCs/>
          <w:sz w:val="36"/>
          <w:szCs w:val="36"/>
          <w:lang w:val="en-US" w:eastAsia="zh-CN"/>
        </w:rPr>
        <w:t>采购需求</w:t>
      </w:r>
      <w:r>
        <w:rPr>
          <w:rFonts w:ascii="仿宋" w:hAnsi="仿宋" w:eastAsia="仿宋" w:cs="仿宋"/>
          <w:b/>
          <w:bCs/>
          <w:sz w:val="36"/>
          <w:szCs w:val="36"/>
        </w:rPr>
        <w:t>及商务要求</w:t>
      </w:r>
    </w:p>
    <w:p w14:paraId="4346CBAE">
      <w:pPr>
        <w:numPr>
          <w:ilvl w:val="0"/>
          <w:numId w:val="0"/>
        </w:numPr>
        <w:tabs>
          <w:tab w:val="left" w:pos="0"/>
        </w:tabs>
        <w:ind w:left="0" w:leftChars="0" w:firstLine="0" w:firstLineChars="0"/>
        <w:rPr>
          <w:rFonts w:ascii="仿宋" w:hAnsi="仿宋" w:eastAsia="仿宋" w:cs="仿宋"/>
          <w:b/>
          <w:bCs/>
          <w:kern w:val="2"/>
          <w:sz w:val="28"/>
          <w:szCs w:val="28"/>
          <w:lang w:val="en-US" w:eastAsia="zh-CN" w:bidi="ar-SA"/>
        </w:rPr>
      </w:pPr>
    </w:p>
    <w:p w14:paraId="42ED7ECD">
      <w:pPr>
        <w:numPr>
          <w:ilvl w:val="0"/>
          <w:numId w:val="0"/>
        </w:numPr>
        <w:tabs>
          <w:tab w:val="left" w:pos="0"/>
        </w:tabs>
        <w:ind w:left="0" w:leftChars="0" w:firstLine="560" w:firstLineChars="200"/>
        <w:rPr>
          <w:rFonts w:hint="eastAsia" w:ascii="黑体" w:hAnsi="黑体" w:eastAsia="黑体" w:cs="黑体"/>
          <w:b w:val="0"/>
          <w:bCs w:val="0"/>
          <w:sz w:val="28"/>
          <w:szCs w:val="28"/>
        </w:rPr>
      </w:pPr>
      <w:r>
        <w:rPr>
          <w:rFonts w:hint="eastAsia" w:ascii="黑体" w:hAnsi="黑体" w:eastAsia="黑体" w:cs="黑体"/>
          <w:b w:val="0"/>
          <w:bCs w:val="0"/>
          <w:kern w:val="2"/>
          <w:sz w:val="28"/>
          <w:szCs w:val="28"/>
          <w:lang w:val="en-US" w:eastAsia="zh-CN" w:bidi="ar-SA"/>
        </w:rPr>
        <w:t>一、</w:t>
      </w:r>
      <w:r>
        <w:rPr>
          <w:rFonts w:hint="eastAsia" w:ascii="黑体" w:hAnsi="黑体" w:eastAsia="黑体" w:cs="黑体"/>
          <w:b w:val="0"/>
          <w:bCs w:val="0"/>
          <w:sz w:val="28"/>
          <w:szCs w:val="28"/>
        </w:rPr>
        <w:t>项目概况</w:t>
      </w:r>
    </w:p>
    <w:p w14:paraId="4AAC66C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i w:val="0"/>
          <w:iCs w:val="0"/>
          <w:caps w:val="0"/>
          <w:spacing w:val="23"/>
          <w:sz w:val="32"/>
          <w:szCs w:val="32"/>
          <w:shd w:val="clear" w:fill="FDFDFD"/>
        </w:rPr>
        <w:t>夹江县妇幼保健</w:t>
      </w:r>
      <w:r>
        <w:rPr>
          <w:rFonts w:hint="eastAsia" w:ascii="仿宋_GB2312" w:hAnsi="仿宋_GB2312" w:eastAsia="仿宋_GB2312" w:cs="仿宋_GB2312"/>
          <w:i w:val="0"/>
          <w:iCs w:val="0"/>
          <w:caps w:val="0"/>
          <w:spacing w:val="23"/>
          <w:sz w:val="32"/>
          <w:szCs w:val="32"/>
          <w:shd w:val="clear" w:fill="FDFDFD"/>
          <w:lang w:val="en-US" w:eastAsia="zh-CN"/>
        </w:rPr>
        <w:t>院</w:t>
      </w:r>
      <w:r>
        <w:rPr>
          <w:rFonts w:hint="eastAsia" w:ascii="仿宋_GB2312" w:hAnsi="仿宋_GB2312" w:eastAsia="仿宋_GB2312" w:cs="仿宋_GB2312"/>
          <w:b w:val="0"/>
          <w:bCs w:val="0"/>
          <w:i w:val="0"/>
          <w:iCs w:val="0"/>
          <w:caps w:val="0"/>
          <w:spacing w:val="8"/>
          <w:sz w:val="32"/>
          <w:szCs w:val="32"/>
          <w:shd w:val="clear" w:fill="FFFFFF"/>
        </w:rPr>
        <w:t>电梯维护及保养服务</w:t>
      </w:r>
      <w:r>
        <w:rPr>
          <w:rFonts w:hint="eastAsia" w:ascii="仿宋_GB2312" w:hAnsi="仿宋_GB2312" w:eastAsia="仿宋_GB2312" w:cs="仿宋_GB2312"/>
          <w:b w:val="0"/>
          <w:bCs w:val="0"/>
          <w:i w:val="0"/>
          <w:iCs w:val="0"/>
          <w:caps w:val="0"/>
          <w:spacing w:val="8"/>
          <w:sz w:val="32"/>
          <w:szCs w:val="32"/>
          <w:shd w:val="clear" w:fill="FFFFFF"/>
          <w:lang w:val="en-US" w:eastAsia="zh-CN"/>
        </w:rPr>
        <w:t>采购</w:t>
      </w:r>
      <w:r>
        <w:rPr>
          <w:rFonts w:hint="eastAsia" w:ascii="仿宋_GB2312" w:hAnsi="仿宋_GB2312" w:eastAsia="仿宋_GB2312" w:cs="仿宋_GB2312"/>
          <w:b w:val="0"/>
          <w:bCs w:val="0"/>
          <w:i w:val="0"/>
          <w:iCs w:val="0"/>
          <w:caps w:val="0"/>
          <w:color w:val="373737"/>
          <w:spacing w:val="0"/>
          <w:sz w:val="32"/>
          <w:szCs w:val="32"/>
          <w:shd w:val="clear" w:fill="FFFFFF"/>
          <w:vertAlign w:val="baseline"/>
          <w:lang w:val="en-US" w:eastAsia="zh-CN"/>
        </w:rPr>
        <w:t>项目</w:t>
      </w:r>
    </w:p>
    <w:p w14:paraId="397ABF43">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00" w:lineRule="exact"/>
        <w:ind w:left="280" w:leftChars="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履约期限：</w:t>
      </w:r>
      <w:r>
        <w:rPr>
          <w:rFonts w:hint="eastAsia" w:ascii="仿宋_GB2312" w:hAnsi="仿宋_GB2312" w:eastAsia="仿宋_GB2312" w:cs="仿宋_GB2312"/>
          <w:sz w:val="32"/>
          <w:szCs w:val="32"/>
          <w:lang w:val="en-US" w:eastAsia="zh-CN"/>
        </w:rPr>
        <w:t>合同签订后3</w:t>
      </w:r>
      <w:r>
        <w:rPr>
          <w:rFonts w:hint="eastAsia" w:ascii="仿宋_GB2312" w:hAnsi="仿宋_GB2312" w:eastAsia="仿宋_GB2312" w:cs="仿宋_GB2312"/>
          <w:sz w:val="32"/>
          <w:szCs w:val="32"/>
        </w:rPr>
        <w:t>年</w:t>
      </w:r>
    </w:p>
    <w:p w14:paraId="59BB3E0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00" w:lineRule="exact"/>
        <w:ind w:left="280" w:leftChars="0" w:firstLine="320" w:firstLineChars="100"/>
        <w:textAlignment w:val="auto"/>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kern w:val="2"/>
          <w:sz w:val="32"/>
          <w:szCs w:val="32"/>
          <w:lang w:val="en-US" w:eastAsia="zh-CN" w:bidi="ar-SA"/>
        </w:rPr>
        <w:t>2、</w:t>
      </w:r>
      <w:r>
        <w:rPr>
          <w:rFonts w:hint="eastAsia" w:ascii="仿宋_GB2312" w:hAnsi="仿宋_GB2312" w:eastAsia="仿宋_GB2312" w:cs="仿宋_GB2312"/>
          <w:color w:val="0000FF"/>
          <w:sz w:val="32"/>
          <w:szCs w:val="32"/>
        </w:rPr>
        <w:t>本项目最高限价：</w:t>
      </w:r>
      <w:r>
        <w:rPr>
          <w:rFonts w:hint="eastAsia" w:ascii="仿宋_GB2312" w:hAnsi="仿宋_GB2312" w:eastAsia="仿宋_GB2312" w:cs="仿宋_GB2312"/>
          <w:color w:val="0000FF"/>
          <w:sz w:val="32"/>
          <w:szCs w:val="32"/>
          <w:lang w:val="en-US" w:eastAsia="zh-CN"/>
        </w:rPr>
        <w:t>27000</w:t>
      </w:r>
      <w:r>
        <w:rPr>
          <w:rFonts w:hint="eastAsia" w:ascii="仿宋_GB2312" w:hAnsi="仿宋_GB2312" w:eastAsia="仿宋_GB2312" w:cs="仿宋_GB2312"/>
          <w:color w:val="0000FF"/>
          <w:sz w:val="32"/>
          <w:szCs w:val="32"/>
        </w:rPr>
        <w:t>元</w:t>
      </w:r>
      <w:r>
        <w:rPr>
          <w:rFonts w:hint="eastAsia" w:ascii="仿宋_GB2312" w:hAnsi="仿宋_GB2312" w:eastAsia="仿宋_GB2312" w:cs="仿宋_GB2312"/>
          <w:color w:val="0000FF"/>
          <w:sz w:val="32"/>
          <w:szCs w:val="32"/>
          <w:lang w:val="en-US" w:eastAsia="zh-CN"/>
        </w:rPr>
        <w:t>/年</w:t>
      </w:r>
    </w:p>
    <w:p w14:paraId="134AEC38">
      <w:pPr>
        <w:numPr>
          <w:ilvl w:val="0"/>
          <w:numId w:val="0"/>
        </w:numPr>
        <w:tabs>
          <w:tab w:val="left" w:pos="0"/>
        </w:tabs>
        <w:ind w:left="0" w:leftChars="0" w:firstLine="560" w:firstLineChars="200"/>
        <w:rPr>
          <w:rFonts w:hint="eastAsia" w:ascii="黑体" w:hAnsi="黑体" w:eastAsia="黑体" w:cs="黑体"/>
          <w:b w:val="0"/>
          <w:bCs w:val="0"/>
          <w:sz w:val="28"/>
          <w:szCs w:val="28"/>
          <w:lang w:val="en-US" w:eastAsia="zh-CN"/>
        </w:rPr>
      </w:pPr>
      <w:r>
        <w:rPr>
          <w:rFonts w:hint="eastAsia" w:ascii="黑体" w:hAnsi="黑体" w:eastAsia="黑体" w:cs="黑体"/>
          <w:b w:val="0"/>
          <w:bCs w:val="0"/>
          <w:kern w:val="2"/>
          <w:sz w:val="28"/>
          <w:szCs w:val="28"/>
          <w:lang w:val="en-US" w:eastAsia="zh-CN" w:bidi="ar-SA"/>
        </w:rPr>
        <w:t>二、</w:t>
      </w:r>
      <w:r>
        <w:rPr>
          <w:rFonts w:hint="eastAsia" w:ascii="黑体" w:hAnsi="黑体" w:eastAsia="黑体" w:cs="黑体"/>
          <w:b w:val="0"/>
          <w:bCs w:val="0"/>
          <w:sz w:val="28"/>
          <w:szCs w:val="28"/>
        </w:rPr>
        <w:t>采购</w:t>
      </w:r>
      <w:r>
        <w:rPr>
          <w:rFonts w:hint="eastAsia" w:ascii="黑体" w:hAnsi="黑体" w:eastAsia="黑体" w:cs="黑体"/>
          <w:b w:val="0"/>
          <w:bCs w:val="0"/>
          <w:sz w:val="28"/>
          <w:szCs w:val="28"/>
          <w:lang w:val="en-US" w:eastAsia="zh-CN"/>
        </w:rPr>
        <w:t>需求</w:t>
      </w:r>
    </w:p>
    <w:tbl>
      <w:tblPr>
        <w:tblStyle w:val="21"/>
        <w:tblpPr w:leftFromText="180" w:rightFromText="180" w:vertAnchor="text" w:horzAnchor="page" w:tblpX="1375" w:tblpY="161"/>
        <w:tblOverlap w:val="never"/>
        <w:tblW w:w="96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5"/>
        <w:gridCol w:w="859"/>
        <w:gridCol w:w="2108"/>
        <w:gridCol w:w="1049"/>
        <w:gridCol w:w="1049"/>
        <w:gridCol w:w="889"/>
        <w:gridCol w:w="609"/>
        <w:gridCol w:w="1349"/>
        <w:gridCol w:w="1224"/>
      </w:tblGrid>
      <w:tr w14:paraId="5F69C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465" w:type="dxa"/>
            <w:vMerge w:val="restart"/>
            <w:tcBorders>
              <w:bottom w:val="nil"/>
            </w:tcBorders>
            <w:textDirection w:val="tbRlV"/>
            <w:vAlign w:val="top"/>
          </w:tcPr>
          <w:p w14:paraId="017BB281">
            <w:pPr>
              <w:pStyle w:val="20"/>
              <w:spacing w:before="133" w:line="199" w:lineRule="auto"/>
              <w:ind w:left="113"/>
              <w:rPr>
                <w:color w:val="0000FF"/>
              </w:rPr>
            </w:pPr>
            <w:r>
              <w:rPr>
                <w:color w:val="0000FF"/>
              </w:rPr>
              <w:t>序</w:t>
            </w:r>
            <w:r>
              <w:rPr>
                <w:color w:val="0000FF"/>
                <w:spacing w:val="67"/>
              </w:rPr>
              <w:t xml:space="preserve"> </w:t>
            </w:r>
            <w:r>
              <w:rPr>
                <w:color w:val="0000FF"/>
              </w:rPr>
              <w:t>号</w:t>
            </w:r>
          </w:p>
        </w:tc>
        <w:tc>
          <w:tcPr>
            <w:tcW w:w="859" w:type="dxa"/>
            <w:vMerge w:val="restart"/>
            <w:tcBorders>
              <w:bottom w:val="nil"/>
            </w:tcBorders>
            <w:vAlign w:val="top"/>
          </w:tcPr>
          <w:p w14:paraId="41980371">
            <w:pPr>
              <w:pStyle w:val="20"/>
              <w:spacing w:before="164" w:line="220" w:lineRule="auto"/>
              <w:ind w:left="200"/>
              <w:rPr>
                <w:color w:val="0000FF"/>
              </w:rPr>
            </w:pPr>
            <w:r>
              <w:rPr>
                <w:color w:val="0000FF"/>
                <w:spacing w:val="6"/>
              </w:rPr>
              <w:t>电梯</w:t>
            </w:r>
          </w:p>
          <w:p w14:paraId="08CA9467">
            <w:pPr>
              <w:pStyle w:val="20"/>
              <w:spacing w:before="17" w:line="219" w:lineRule="auto"/>
              <w:ind w:left="200"/>
              <w:rPr>
                <w:color w:val="0000FF"/>
              </w:rPr>
            </w:pPr>
            <w:r>
              <w:rPr>
                <w:color w:val="0000FF"/>
                <w:spacing w:val="4"/>
              </w:rPr>
              <w:t>品牌</w:t>
            </w:r>
          </w:p>
        </w:tc>
        <w:tc>
          <w:tcPr>
            <w:tcW w:w="2108" w:type="dxa"/>
            <w:vMerge w:val="restart"/>
            <w:tcBorders>
              <w:bottom w:val="nil"/>
            </w:tcBorders>
            <w:vAlign w:val="top"/>
          </w:tcPr>
          <w:p w14:paraId="458DA96C">
            <w:pPr>
              <w:spacing w:line="251" w:lineRule="auto"/>
              <w:rPr>
                <w:rFonts w:ascii="Arial"/>
                <w:color w:val="0000FF"/>
                <w:sz w:val="21"/>
              </w:rPr>
            </w:pPr>
          </w:p>
          <w:p w14:paraId="1A9AF444">
            <w:pPr>
              <w:pStyle w:val="20"/>
              <w:spacing w:before="71" w:line="219" w:lineRule="auto"/>
              <w:ind w:left="600"/>
              <w:rPr>
                <w:color w:val="0000FF"/>
              </w:rPr>
            </w:pPr>
            <w:r>
              <w:rPr>
                <w:color w:val="0000FF"/>
                <w:spacing w:val="2"/>
              </w:rPr>
              <w:t>型号规格</w:t>
            </w:r>
          </w:p>
        </w:tc>
        <w:tc>
          <w:tcPr>
            <w:tcW w:w="1049" w:type="dxa"/>
            <w:vMerge w:val="restart"/>
            <w:vAlign w:val="center"/>
          </w:tcPr>
          <w:p w14:paraId="59CD10C9">
            <w:pPr>
              <w:jc w:val="center"/>
              <w:rPr>
                <w:rFonts w:hint="default" w:ascii="Arial" w:eastAsiaTheme="minorEastAsia"/>
                <w:color w:val="0000FF"/>
                <w:sz w:val="21"/>
                <w:lang w:val="en-US" w:eastAsia="zh-CN"/>
              </w:rPr>
            </w:pPr>
            <w:r>
              <w:rPr>
                <w:rFonts w:hint="eastAsia" w:ascii="Arial"/>
                <w:color w:val="0000FF"/>
                <w:sz w:val="21"/>
                <w:lang w:val="en-US" w:eastAsia="zh-CN"/>
              </w:rPr>
              <w:t>设备代码</w:t>
            </w:r>
          </w:p>
        </w:tc>
        <w:tc>
          <w:tcPr>
            <w:tcW w:w="1049" w:type="dxa"/>
            <w:vMerge w:val="restart"/>
            <w:tcBorders>
              <w:bottom w:val="nil"/>
            </w:tcBorders>
            <w:vAlign w:val="top"/>
          </w:tcPr>
          <w:p w14:paraId="35D60AC3">
            <w:pPr>
              <w:spacing w:line="251" w:lineRule="auto"/>
              <w:rPr>
                <w:rFonts w:ascii="Arial"/>
                <w:color w:val="0000FF"/>
                <w:sz w:val="21"/>
              </w:rPr>
            </w:pPr>
          </w:p>
          <w:p w14:paraId="2968F1CF">
            <w:pPr>
              <w:pStyle w:val="20"/>
              <w:spacing w:before="71" w:line="219" w:lineRule="auto"/>
              <w:ind w:left="72"/>
              <w:rPr>
                <w:color w:val="0000FF"/>
              </w:rPr>
            </w:pPr>
            <w:r>
              <w:rPr>
                <w:color w:val="0000FF"/>
                <w:spacing w:val="4"/>
              </w:rPr>
              <w:t>层/站/门</w:t>
            </w:r>
          </w:p>
        </w:tc>
        <w:tc>
          <w:tcPr>
            <w:tcW w:w="889" w:type="dxa"/>
            <w:vMerge w:val="restart"/>
            <w:tcBorders>
              <w:bottom w:val="nil"/>
            </w:tcBorders>
            <w:vAlign w:val="top"/>
          </w:tcPr>
          <w:p w14:paraId="6FA24133">
            <w:pPr>
              <w:pStyle w:val="20"/>
              <w:spacing w:before="194" w:line="220" w:lineRule="auto"/>
              <w:ind w:left="214"/>
              <w:rPr>
                <w:color w:val="0000FF"/>
              </w:rPr>
            </w:pPr>
            <w:r>
              <w:rPr>
                <w:color w:val="0000FF"/>
                <w:spacing w:val="6"/>
              </w:rPr>
              <w:t>速度</w:t>
            </w:r>
          </w:p>
          <w:p w14:paraId="4CBD4FA5">
            <w:pPr>
              <w:pStyle w:val="20"/>
              <w:spacing w:before="10" w:line="222" w:lineRule="auto"/>
              <w:ind w:left="163"/>
              <w:rPr>
                <w:color w:val="0000FF"/>
              </w:rPr>
            </w:pPr>
            <w:r>
              <w:rPr>
                <w:color w:val="0000FF"/>
                <w:spacing w:val="-8"/>
              </w:rPr>
              <w:t>(m/S)</w:t>
            </w:r>
          </w:p>
        </w:tc>
        <w:tc>
          <w:tcPr>
            <w:tcW w:w="609" w:type="dxa"/>
            <w:vMerge w:val="restart"/>
            <w:tcBorders>
              <w:bottom w:val="nil"/>
            </w:tcBorders>
            <w:textDirection w:val="tbRlV"/>
            <w:vAlign w:val="top"/>
          </w:tcPr>
          <w:p w14:paraId="21E267D5">
            <w:pPr>
              <w:pStyle w:val="20"/>
              <w:spacing w:before="203" w:line="199" w:lineRule="auto"/>
              <w:ind w:left="194"/>
              <w:rPr>
                <w:color w:val="0000FF"/>
              </w:rPr>
            </w:pPr>
            <w:r>
              <w:rPr>
                <w:color w:val="0000FF"/>
              </w:rPr>
              <w:t>台数</w:t>
            </w:r>
          </w:p>
        </w:tc>
        <w:tc>
          <w:tcPr>
            <w:tcW w:w="2573" w:type="dxa"/>
            <w:gridSpan w:val="2"/>
            <w:vAlign w:val="top"/>
          </w:tcPr>
          <w:p w14:paraId="5CBC394E">
            <w:pPr>
              <w:pStyle w:val="20"/>
              <w:spacing w:before="43" w:line="211" w:lineRule="auto"/>
              <w:ind w:left="847"/>
              <w:rPr>
                <w:rFonts w:hint="eastAsia" w:eastAsia="宋体"/>
                <w:color w:val="0000FF"/>
                <w:lang w:val="en-US" w:eastAsia="zh-CN"/>
              </w:rPr>
            </w:pPr>
            <w:r>
              <w:rPr>
                <w:color w:val="0000FF"/>
                <w:spacing w:val="6"/>
              </w:rPr>
              <w:t>保养费用</w:t>
            </w:r>
            <w:r>
              <w:rPr>
                <w:rFonts w:hint="eastAsia"/>
                <w:color w:val="0000FF"/>
                <w:spacing w:val="6"/>
                <w:lang w:val="en-US" w:eastAsia="zh-CN"/>
              </w:rPr>
              <w:t>限额</w:t>
            </w:r>
          </w:p>
        </w:tc>
      </w:tr>
      <w:tr w14:paraId="118C7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65" w:type="dxa"/>
            <w:vMerge w:val="continue"/>
            <w:tcBorders>
              <w:top w:val="nil"/>
            </w:tcBorders>
            <w:textDirection w:val="tbRlV"/>
            <w:vAlign w:val="top"/>
          </w:tcPr>
          <w:p w14:paraId="7A24E73D">
            <w:pPr>
              <w:rPr>
                <w:rFonts w:ascii="Arial"/>
                <w:color w:val="0000FF"/>
                <w:sz w:val="21"/>
              </w:rPr>
            </w:pPr>
          </w:p>
        </w:tc>
        <w:tc>
          <w:tcPr>
            <w:tcW w:w="859" w:type="dxa"/>
            <w:vMerge w:val="continue"/>
            <w:tcBorders>
              <w:top w:val="nil"/>
            </w:tcBorders>
            <w:vAlign w:val="top"/>
          </w:tcPr>
          <w:p w14:paraId="6E62D9D3">
            <w:pPr>
              <w:rPr>
                <w:rFonts w:ascii="Arial"/>
                <w:color w:val="0000FF"/>
                <w:sz w:val="21"/>
              </w:rPr>
            </w:pPr>
          </w:p>
        </w:tc>
        <w:tc>
          <w:tcPr>
            <w:tcW w:w="2108" w:type="dxa"/>
            <w:vMerge w:val="continue"/>
            <w:tcBorders>
              <w:top w:val="nil"/>
            </w:tcBorders>
            <w:vAlign w:val="top"/>
          </w:tcPr>
          <w:p w14:paraId="24ACD4AA">
            <w:pPr>
              <w:rPr>
                <w:rFonts w:ascii="Arial"/>
                <w:color w:val="0000FF"/>
                <w:sz w:val="21"/>
              </w:rPr>
            </w:pPr>
          </w:p>
        </w:tc>
        <w:tc>
          <w:tcPr>
            <w:tcW w:w="1049" w:type="dxa"/>
            <w:vMerge w:val="continue"/>
            <w:vAlign w:val="top"/>
          </w:tcPr>
          <w:p w14:paraId="69C87330">
            <w:pPr>
              <w:rPr>
                <w:rFonts w:hint="default" w:ascii="Arial" w:eastAsiaTheme="minorEastAsia"/>
                <w:color w:val="0000FF"/>
                <w:sz w:val="21"/>
                <w:lang w:val="en-US" w:eastAsia="zh-CN"/>
              </w:rPr>
            </w:pPr>
          </w:p>
        </w:tc>
        <w:tc>
          <w:tcPr>
            <w:tcW w:w="1049" w:type="dxa"/>
            <w:vMerge w:val="continue"/>
            <w:tcBorders>
              <w:top w:val="nil"/>
            </w:tcBorders>
            <w:vAlign w:val="top"/>
          </w:tcPr>
          <w:p w14:paraId="4DBDF937">
            <w:pPr>
              <w:rPr>
                <w:rFonts w:ascii="Arial"/>
                <w:color w:val="0000FF"/>
                <w:sz w:val="21"/>
              </w:rPr>
            </w:pPr>
          </w:p>
        </w:tc>
        <w:tc>
          <w:tcPr>
            <w:tcW w:w="889" w:type="dxa"/>
            <w:vMerge w:val="continue"/>
            <w:tcBorders>
              <w:top w:val="nil"/>
            </w:tcBorders>
            <w:vAlign w:val="top"/>
          </w:tcPr>
          <w:p w14:paraId="299701A1">
            <w:pPr>
              <w:rPr>
                <w:rFonts w:ascii="Arial"/>
                <w:color w:val="0000FF"/>
                <w:sz w:val="21"/>
              </w:rPr>
            </w:pPr>
          </w:p>
        </w:tc>
        <w:tc>
          <w:tcPr>
            <w:tcW w:w="609" w:type="dxa"/>
            <w:vMerge w:val="continue"/>
            <w:tcBorders>
              <w:top w:val="nil"/>
            </w:tcBorders>
            <w:textDirection w:val="tbRlV"/>
            <w:vAlign w:val="top"/>
          </w:tcPr>
          <w:p w14:paraId="1B6A3AD6">
            <w:pPr>
              <w:rPr>
                <w:rFonts w:ascii="Arial"/>
                <w:color w:val="0000FF"/>
                <w:sz w:val="21"/>
              </w:rPr>
            </w:pPr>
          </w:p>
        </w:tc>
        <w:tc>
          <w:tcPr>
            <w:tcW w:w="1349" w:type="dxa"/>
            <w:vAlign w:val="top"/>
          </w:tcPr>
          <w:p w14:paraId="173885D4">
            <w:pPr>
              <w:pStyle w:val="20"/>
              <w:spacing w:before="7" w:line="218" w:lineRule="auto"/>
              <w:ind w:left="447"/>
              <w:rPr>
                <w:color w:val="0000FF"/>
              </w:rPr>
            </w:pPr>
            <w:r>
              <w:rPr>
                <w:color w:val="0000FF"/>
                <w:spacing w:val="-3"/>
              </w:rPr>
              <w:t>单价</w:t>
            </w:r>
          </w:p>
          <w:p w14:paraId="6453FFCF">
            <w:pPr>
              <w:pStyle w:val="20"/>
              <w:spacing w:before="11" w:line="210" w:lineRule="auto"/>
              <w:ind w:right="22"/>
              <w:jc w:val="right"/>
              <w:rPr>
                <w:color w:val="0000FF"/>
              </w:rPr>
            </w:pPr>
            <w:r>
              <w:rPr>
                <w:color w:val="0000FF"/>
                <w:spacing w:val="6"/>
              </w:rPr>
              <w:t>(元/台/年)</w:t>
            </w:r>
          </w:p>
        </w:tc>
        <w:tc>
          <w:tcPr>
            <w:tcW w:w="1224" w:type="dxa"/>
            <w:vAlign w:val="top"/>
          </w:tcPr>
          <w:p w14:paraId="43535DAD">
            <w:pPr>
              <w:pStyle w:val="20"/>
              <w:spacing w:before="18" w:line="202" w:lineRule="auto"/>
              <w:ind w:left="279"/>
              <w:rPr>
                <w:color w:val="0000FF"/>
              </w:rPr>
            </w:pPr>
            <w:r>
              <w:rPr>
                <w:color w:val="0000FF"/>
                <w:spacing w:val="2"/>
              </w:rPr>
              <w:t>总金额</w:t>
            </w:r>
          </w:p>
          <w:p w14:paraId="6E48C48D">
            <w:pPr>
              <w:pStyle w:val="20"/>
              <w:spacing w:line="220" w:lineRule="auto"/>
              <w:ind w:left="379"/>
              <w:rPr>
                <w:color w:val="0000FF"/>
              </w:rPr>
            </w:pPr>
            <w:r>
              <w:rPr>
                <w:color w:val="0000FF"/>
                <w:spacing w:val="16"/>
              </w:rPr>
              <w:t>(元)</w:t>
            </w:r>
          </w:p>
        </w:tc>
      </w:tr>
      <w:tr w14:paraId="27762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65" w:type="dxa"/>
            <w:vAlign w:val="top"/>
          </w:tcPr>
          <w:p w14:paraId="29B18E99">
            <w:pPr>
              <w:pStyle w:val="20"/>
              <w:spacing w:before="182" w:line="241" w:lineRule="auto"/>
              <w:ind w:left="164"/>
              <w:rPr>
                <w:color w:val="0000FF"/>
              </w:rPr>
            </w:pPr>
            <w:r>
              <w:rPr>
                <w:color w:val="0000FF"/>
              </w:rPr>
              <w:t>1</w:t>
            </w:r>
          </w:p>
        </w:tc>
        <w:tc>
          <w:tcPr>
            <w:tcW w:w="859" w:type="dxa"/>
            <w:vAlign w:val="top"/>
          </w:tcPr>
          <w:p w14:paraId="77312DCA">
            <w:pPr>
              <w:pStyle w:val="20"/>
              <w:spacing w:before="160" w:line="220" w:lineRule="auto"/>
              <w:ind w:left="90"/>
              <w:rPr>
                <w:color w:val="0000FF"/>
              </w:rPr>
            </w:pPr>
            <w:r>
              <w:rPr>
                <w:color w:val="0000FF"/>
                <w:spacing w:val="2"/>
              </w:rPr>
              <w:t>富士达</w:t>
            </w:r>
          </w:p>
        </w:tc>
        <w:tc>
          <w:tcPr>
            <w:tcW w:w="2108" w:type="dxa"/>
            <w:vAlign w:val="top"/>
          </w:tcPr>
          <w:p w14:paraId="762DD2D7">
            <w:pPr>
              <w:pStyle w:val="20"/>
              <w:spacing w:before="33" w:line="208" w:lineRule="auto"/>
              <w:ind w:left="380" w:right="72" w:hanging="330"/>
              <w:rPr>
                <w:color w:val="0000FF"/>
              </w:rPr>
            </w:pPr>
            <w:r>
              <w:rPr>
                <w:color w:val="0000FF"/>
                <w:spacing w:val="-1"/>
              </w:rPr>
              <w:t>GLVF-E-1050kg-105m</w:t>
            </w:r>
            <w:r>
              <w:rPr>
                <w:color w:val="0000FF"/>
                <w:spacing w:val="11"/>
              </w:rPr>
              <w:t xml:space="preserve"> </w:t>
            </w:r>
            <w:r>
              <w:rPr>
                <w:color w:val="0000FF"/>
                <w:spacing w:val="-1"/>
              </w:rPr>
              <w:t>/min/10F/10T</w:t>
            </w:r>
          </w:p>
        </w:tc>
        <w:tc>
          <w:tcPr>
            <w:tcW w:w="1049" w:type="dxa"/>
            <w:vAlign w:val="top"/>
          </w:tcPr>
          <w:p w14:paraId="78E939A7">
            <w:pPr>
              <w:pStyle w:val="20"/>
              <w:spacing w:before="166" w:line="224" w:lineRule="auto"/>
              <w:ind w:left="72" w:leftChars="0"/>
              <w:rPr>
                <w:color w:val="0000FF"/>
                <w:spacing w:val="-3"/>
              </w:rPr>
            </w:pPr>
            <w:r>
              <w:rPr>
                <w:rFonts w:hint="eastAsia"/>
                <w:color w:val="0000FF"/>
                <w:spacing w:val="-3"/>
                <w:lang w:val="en-US" w:eastAsia="zh-CN"/>
              </w:rPr>
              <w:t>311051110020240019</w:t>
            </w:r>
          </w:p>
        </w:tc>
        <w:tc>
          <w:tcPr>
            <w:tcW w:w="1049" w:type="dxa"/>
            <w:vAlign w:val="top"/>
          </w:tcPr>
          <w:p w14:paraId="756E019E">
            <w:pPr>
              <w:pStyle w:val="20"/>
              <w:spacing w:before="166" w:line="224" w:lineRule="auto"/>
              <w:ind w:left="72"/>
              <w:rPr>
                <w:color w:val="0000FF"/>
              </w:rPr>
            </w:pPr>
            <w:r>
              <w:rPr>
                <w:color w:val="0000FF"/>
                <w:spacing w:val="-3"/>
              </w:rPr>
              <w:t>10/10/10</w:t>
            </w:r>
          </w:p>
        </w:tc>
        <w:tc>
          <w:tcPr>
            <w:tcW w:w="889" w:type="dxa"/>
            <w:vAlign w:val="top"/>
          </w:tcPr>
          <w:p w14:paraId="727CED9E">
            <w:pPr>
              <w:pStyle w:val="20"/>
              <w:spacing w:before="181" w:line="239" w:lineRule="auto"/>
              <w:ind w:left="214"/>
              <w:rPr>
                <w:color w:val="0000FF"/>
              </w:rPr>
            </w:pPr>
            <w:r>
              <w:rPr>
                <w:color w:val="0000FF"/>
                <w:spacing w:val="-5"/>
              </w:rPr>
              <w:t>1.75</w:t>
            </w:r>
          </w:p>
        </w:tc>
        <w:tc>
          <w:tcPr>
            <w:tcW w:w="609" w:type="dxa"/>
            <w:vAlign w:val="top"/>
          </w:tcPr>
          <w:p w14:paraId="0A9351AE">
            <w:pPr>
              <w:pStyle w:val="20"/>
              <w:spacing w:before="182" w:line="241" w:lineRule="auto"/>
              <w:ind w:left="245"/>
              <w:rPr>
                <w:color w:val="0000FF"/>
              </w:rPr>
            </w:pPr>
            <w:r>
              <w:rPr>
                <w:color w:val="0000FF"/>
              </w:rPr>
              <w:t>1</w:t>
            </w:r>
          </w:p>
        </w:tc>
        <w:tc>
          <w:tcPr>
            <w:tcW w:w="1349" w:type="dxa"/>
            <w:vAlign w:val="top"/>
          </w:tcPr>
          <w:p w14:paraId="31D313BC">
            <w:pPr>
              <w:pStyle w:val="20"/>
              <w:spacing w:before="181" w:line="239" w:lineRule="auto"/>
              <w:ind w:left="287"/>
              <w:rPr>
                <w:color w:val="0000FF"/>
              </w:rPr>
            </w:pPr>
            <w:r>
              <w:rPr>
                <w:rFonts w:hint="eastAsia"/>
                <w:color w:val="0000FF"/>
                <w:spacing w:val="-2"/>
                <w:lang w:val="en-US" w:eastAsia="zh-CN"/>
              </w:rPr>
              <w:t>4500</w:t>
            </w:r>
            <w:r>
              <w:rPr>
                <w:color w:val="0000FF"/>
                <w:spacing w:val="-2"/>
              </w:rPr>
              <w:t>.00</w:t>
            </w:r>
          </w:p>
        </w:tc>
        <w:tc>
          <w:tcPr>
            <w:tcW w:w="1224" w:type="dxa"/>
            <w:vAlign w:val="top"/>
          </w:tcPr>
          <w:p w14:paraId="3DB5AA96">
            <w:pPr>
              <w:pStyle w:val="20"/>
              <w:spacing w:before="181" w:line="239" w:lineRule="auto"/>
              <w:ind w:left="218"/>
              <w:rPr>
                <w:color w:val="0000FF"/>
              </w:rPr>
            </w:pPr>
            <w:r>
              <w:rPr>
                <w:rFonts w:hint="eastAsia"/>
                <w:color w:val="0000FF"/>
                <w:spacing w:val="-2"/>
                <w:lang w:val="en-US" w:eastAsia="zh-CN"/>
              </w:rPr>
              <w:t>4500</w:t>
            </w:r>
            <w:r>
              <w:rPr>
                <w:color w:val="0000FF"/>
                <w:spacing w:val="-2"/>
              </w:rPr>
              <w:t>.00</w:t>
            </w:r>
          </w:p>
        </w:tc>
      </w:tr>
      <w:tr w14:paraId="13DAB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65" w:type="dxa"/>
            <w:vAlign w:val="top"/>
          </w:tcPr>
          <w:p w14:paraId="7C8EC8CC">
            <w:pPr>
              <w:pStyle w:val="20"/>
              <w:spacing w:before="183" w:line="241" w:lineRule="auto"/>
              <w:ind w:left="164"/>
              <w:rPr>
                <w:color w:val="0000FF"/>
              </w:rPr>
            </w:pPr>
            <w:r>
              <w:rPr>
                <w:color w:val="0000FF"/>
              </w:rPr>
              <w:t>2</w:t>
            </w:r>
          </w:p>
        </w:tc>
        <w:tc>
          <w:tcPr>
            <w:tcW w:w="859" w:type="dxa"/>
            <w:vAlign w:val="top"/>
          </w:tcPr>
          <w:p w14:paraId="56EF9A74">
            <w:pPr>
              <w:pStyle w:val="20"/>
              <w:spacing w:before="161" w:line="220" w:lineRule="auto"/>
              <w:ind w:left="90"/>
              <w:rPr>
                <w:color w:val="0000FF"/>
              </w:rPr>
            </w:pPr>
            <w:r>
              <w:rPr>
                <w:color w:val="0000FF"/>
                <w:spacing w:val="2"/>
              </w:rPr>
              <w:t>富士达</w:t>
            </w:r>
          </w:p>
        </w:tc>
        <w:tc>
          <w:tcPr>
            <w:tcW w:w="2108" w:type="dxa"/>
            <w:vAlign w:val="top"/>
          </w:tcPr>
          <w:p w14:paraId="71283AE6">
            <w:pPr>
              <w:pStyle w:val="20"/>
              <w:spacing w:before="33" w:line="208" w:lineRule="auto"/>
              <w:ind w:left="219" w:right="178" w:hanging="59"/>
              <w:rPr>
                <w:color w:val="0000FF"/>
              </w:rPr>
            </w:pPr>
            <w:r>
              <w:rPr>
                <w:color w:val="0000FF"/>
                <w:spacing w:val="-1"/>
              </w:rPr>
              <w:t>NEWVFB-II-1600kg</w:t>
            </w:r>
            <w:r>
              <w:rPr>
                <w:color w:val="0000FF"/>
                <w:spacing w:val="13"/>
              </w:rPr>
              <w:t xml:space="preserve"> </w:t>
            </w:r>
            <w:r>
              <w:rPr>
                <w:color w:val="0000FF"/>
                <w:spacing w:val="-1"/>
              </w:rPr>
              <w:t>-105m/min-9F/9T</w:t>
            </w:r>
          </w:p>
        </w:tc>
        <w:tc>
          <w:tcPr>
            <w:tcW w:w="1049" w:type="dxa"/>
            <w:vAlign w:val="top"/>
          </w:tcPr>
          <w:p w14:paraId="4DFC729D">
            <w:pPr>
              <w:pStyle w:val="20"/>
              <w:spacing w:before="167" w:line="224" w:lineRule="auto"/>
              <w:rPr>
                <w:color w:val="0000FF"/>
                <w:spacing w:val="-2"/>
              </w:rPr>
            </w:pPr>
            <w:r>
              <w:rPr>
                <w:rFonts w:hint="eastAsia"/>
                <w:color w:val="0000FF"/>
                <w:spacing w:val="-2"/>
                <w:lang w:val="en-US" w:eastAsia="zh-CN"/>
              </w:rPr>
              <w:t>311051110020240018</w:t>
            </w:r>
          </w:p>
        </w:tc>
        <w:tc>
          <w:tcPr>
            <w:tcW w:w="1049" w:type="dxa"/>
            <w:vAlign w:val="top"/>
          </w:tcPr>
          <w:p w14:paraId="3DBB74A0">
            <w:pPr>
              <w:pStyle w:val="20"/>
              <w:spacing w:before="167" w:line="224" w:lineRule="auto"/>
              <w:ind w:left="243"/>
              <w:rPr>
                <w:color w:val="0000FF"/>
              </w:rPr>
            </w:pPr>
            <w:r>
              <w:rPr>
                <w:color w:val="0000FF"/>
                <w:spacing w:val="-2"/>
              </w:rPr>
              <w:t>9/9/9</w:t>
            </w:r>
          </w:p>
        </w:tc>
        <w:tc>
          <w:tcPr>
            <w:tcW w:w="889" w:type="dxa"/>
            <w:vAlign w:val="top"/>
          </w:tcPr>
          <w:p w14:paraId="4F5B91BB">
            <w:pPr>
              <w:pStyle w:val="20"/>
              <w:spacing w:before="182" w:line="239" w:lineRule="auto"/>
              <w:ind w:left="214"/>
              <w:rPr>
                <w:color w:val="0000FF"/>
              </w:rPr>
            </w:pPr>
            <w:r>
              <w:rPr>
                <w:color w:val="0000FF"/>
                <w:spacing w:val="-5"/>
              </w:rPr>
              <w:t>1.75</w:t>
            </w:r>
          </w:p>
        </w:tc>
        <w:tc>
          <w:tcPr>
            <w:tcW w:w="609" w:type="dxa"/>
            <w:vAlign w:val="top"/>
          </w:tcPr>
          <w:p w14:paraId="1829AEDB">
            <w:pPr>
              <w:pStyle w:val="20"/>
              <w:spacing w:before="183" w:line="241" w:lineRule="auto"/>
              <w:ind w:left="245"/>
              <w:rPr>
                <w:color w:val="0000FF"/>
              </w:rPr>
            </w:pPr>
            <w:r>
              <w:rPr>
                <w:color w:val="0000FF"/>
              </w:rPr>
              <w:t>1</w:t>
            </w:r>
          </w:p>
        </w:tc>
        <w:tc>
          <w:tcPr>
            <w:tcW w:w="1349" w:type="dxa"/>
            <w:vAlign w:val="top"/>
          </w:tcPr>
          <w:p w14:paraId="5CF47A3A">
            <w:pPr>
              <w:pStyle w:val="20"/>
              <w:spacing w:before="182" w:line="239" w:lineRule="auto"/>
              <w:ind w:left="287"/>
              <w:rPr>
                <w:color w:val="0000FF"/>
              </w:rPr>
            </w:pPr>
            <w:r>
              <w:rPr>
                <w:rFonts w:hint="eastAsia"/>
                <w:color w:val="0000FF"/>
                <w:spacing w:val="-1"/>
                <w:lang w:val="en-US" w:eastAsia="zh-CN"/>
              </w:rPr>
              <w:t>4500</w:t>
            </w:r>
            <w:r>
              <w:rPr>
                <w:color w:val="0000FF"/>
                <w:spacing w:val="-1"/>
              </w:rPr>
              <w:t>.00</w:t>
            </w:r>
          </w:p>
        </w:tc>
        <w:tc>
          <w:tcPr>
            <w:tcW w:w="1224" w:type="dxa"/>
            <w:vAlign w:val="top"/>
          </w:tcPr>
          <w:p w14:paraId="21268226">
            <w:pPr>
              <w:pStyle w:val="20"/>
              <w:spacing w:before="182" w:line="239" w:lineRule="auto"/>
              <w:ind w:left="218"/>
              <w:rPr>
                <w:color w:val="0000FF"/>
              </w:rPr>
            </w:pPr>
            <w:r>
              <w:rPr>
                <w:rFonts w:hint="eastAsia"/>
                <w:color w:val="0000FF"/>
                <w:spacing w:val="-1"/>
                <w:lang w:val="en-US" w:eastAsia="zh-CN"/>
              </w:rPr>
              <w:t>4500</w:t>
            </w:r>
            <w:r>
              <w:rPr>
                <w:color w:val="0000FF"/>
                <w:spacing w:val="-1"/>
              </w:rPr>
              <w:t>.00</w:t>
            </w:r>
          </w:p>
        </w:tc>
      </w:tr>
      <w:tr w14:paraId="3B5F8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65" w:type="dxa"/>
            <w:vAlign w:val="top"/>
          </w:tcPr>
          <w:p w14:paraId="645AF34D">
            <w:pPr>
              <w:pStyle w:val="20"/>
              <w:spacing w:before="193"/>
              <w:ind w:left="164"/>
              <w:rPr>
                <w:color w:val="0000FF"/>
              </w:rPr>
            </w:pPr>
            <w:r>
              <w:rPr>
                <w:color w:val="0000FF"/>
              </w:rPr>
              <w:t>3</w:t>
            </w:r>
          </w:p>
        </w:tc>
        <w:tc>
          <w:tcPr>
            <w:tcW w:w="859" w:type="dxa"/>
            <w:vAlign w:val="top"/>
          </w:tcPr>
          <w:p w14:paraId="19A7C81A">
            <w:pPr>
              <w:pStyle w:val="20"/>
              <w:spacing w:before="172" w:line="220" w:lineRule="auto"/>
              <w:ind w:left="90"/>
              <w:rPr>
                <w:color w:val="0000FF"/>
              </w:rPr>
            </w:pPr>
            <w:r>
              <w:rPr>
                <w:color w:val="0000FF"/>
                <w:spacing w:val="2"/>
              </w:rPr>
              <w:t>富士达</w:t>
            </w:r>
          </w:p>
        </w:tc>
        <w:tc>
          <w:tcPr>
            <w:tcW w:w="2108" w:type="dxa"/>
            <w:vAlign w:val="top"/>
          </w:tcPr>
          <w:p w14:paraId="359CF947">
            <w:pPr>
              <w:pStyle w:val="20"/>
              <w:spacing w:before="55" w:line="203" w:lineRule="auto"/>
              <w:ind w:left="491" w:right="122" w:hanging="380"/>
              <w:rPr>
                <w:color w:val="0000FF"/>
              </w:rPr>
            </w:pPr>
            <w:r>
              <w:rPr>
                <w:color w:val="0000FF"/>
                <w:spacing w:val="-1"/>
              </w:rPr>
              <w:t>GLVF-E-1050kg-90m</w:t>
            </w:r>
            <w:r>
              <w:rPr>
                <w:color w:val="0000FF"/>
                <w:spacing w:val="10"/>
              </w:rPr>
              <w:t xml:space="preserve"> </w:t>
            </w:r>
            <w:r>
              <w:rPr>
                <w:color w:val="0000FF"/>
                <w:spacing w:val="-1"/>
              </w:rPr>
              <w:t>/min/7F/7T</w:t>
            </w:r>
          </w:p>
        </w:tc>
        <w:tc>
          <w:tcPr>
            <w:tcW w:w="1049" w:type="dxa"/>
            <w:vAlign w:val="top"/>
          </w:tcPr>
          <w:p w14:paraId="770D5736">
            <w:pPr>
              <w:pStyle w:val="20"/>
              <w:spacing w:before="178" w:line="224" w:lineRule="auto"/>
              <w:jc w:val="left"/>
              <w:rPr>
                <w:color w:val="0000FF"/>
                <w:spacing w:val="-3"/>
              </w:rPr>
            </w:pPr>
            <w:r>
              <w:rPr>
                <w:rFonts w:hint="eastAsia"/>
                <w:color w:val="0000FF"/>
              </w:rPr>
              <w:t>31105111002024001</w:t>
            </w:r>
            <w:r>
              <w:rPr>
                <w:rFonts w:hint="eastAsia"/>
                <w:color w:val="0000FF"/>
                <w:lang w:val="en-US" w:eastAsia="zh-CN"/>
              </w:rPr>
              <w:t>7</w:t>
            </w:r>
          </w:p>
        </w:tc>
        <w:tc>
          <w:tcPr>
            <w:tcW w:w="1049" w:type="dxa"/>
            <w:vAlign w:val="top"/>
          </w:tcPr>
          <w:p w14:paraId="414A7D0F">
            <w:pPr>
              <w:pStyle w:val="20"/>
              <w:spacing w:before="178" w:line="224" w:lineRule="auto"/>
              <w:ind w:left="243"/>
              <w:rPr>
                <w:color w:val="0000FF"/>
              </w:rPr>
            </w:pPr>
            <w:r>
              <w:rPr>
                <w:color w:val="0000FF"/>
                <w:spacing w:val="-3"/>
              </w:rPr>
              <w:t>7/7/7</w:t>
            </w:r>
          </w:p>
        </w:tc>
        <w:tc>
          <w:tcPr>
            <w:tcW w:w="889" w:type="dxa"/>
            <w:vAlign w:val="top"/>
          </w:tcPr>
          <w:p w14:paraId="4F36F95B">
            <w:pPr>
              <w:pStyle w:val="20"/>
              <w:spacing w:before="193" w:line="239" w:lineRule="auto"/>
              <w:ind w:left="274"/>
              <w:rPr>
                <w:color w:val="0000FF"/>
              </w:rPr>
            </w:pPr>
            <w:r>
              <w:rPr>
                <w:color w:val="0000FF"/>
                <w:spacing w:val="-6"/>
              </w:rPr>
              <w:t>1.5</w:t>
            </w:r>
          </w:p>
        </w:tc>
        <w:tc>
          <w:tcPr>
            <w:tcW w:w="609" w:type="dxa"/>
            <w:vAlign w:val="top"/>
          </w:tcPr>
          <w:p w14:paraId="11CBABBE">
            <w:pPr>
              <w:pStyle w:val="20"/>
              <w:spacing w:before="194" w:line="241" w:lineRule="auto"/>
              <w:ind w:left="245"/>
              <w:rPr>
                <w:color w:val="0000FF"/>
              </w:rPr>
            </w:pPr>
            <w:r>
              <w:rPr>
                <w:color w:val="0000FF"/>
              </w:rPr>
              <w:t>1</w:t>
            </w:r>
          </w:p>
        </w:tc>
        <w:tc>
          <w:tcPr>
            <w:tcW w:w="1349" w:type="dxa"/>
            <w:vAlign w:val="top"/>
          </w:tcPr>
          <w:p w14:paraId="5D24B840">
            <w:pPr>
              <w:pStyle w:val="20"/>
              <w:spacing w:before="193" w:line="239" w:lineRule="auto"/>
              <w:ind w:left="287"/>
              <w:rPr>
                <w:color w:val="0000FF"/>
              </w:rPr>
            </w:pPr>
            <w:r>
              <w:rPr>
                <w:rFonts w:hint="eastAsia"/>
                <w:color w:val="0000FF"/>
                <w:spacing w:val="-2"/>
                <w:lang w:val="en-US" w:eastAsia="zh-CN"/>
              </w:rPr>
              <w:t>4</w:t>
            </w:r>
            <w:r>
              <w:rPr>
                <w:color w:val="0000FF"/>
                <w:spacing w:val="-2"/>
              </w:rPr>
              <w:t>500.00</w:t>
            </w:r>
          </w:p>
        </w:tc>
        <w:tc>
          <w:tcPr>
            <w:tcW w:w="1224" w:type="dxa"/>
            <w:vAlign w:val="top"/>
          </w:tcPr>
          <w:p w14:paraId="1FFEE35D">
            <w:pPr>
              <w:pStyle w:val="20"/>
              <w:spacing w:before="193" w:line="239" w:lineRule="auto"/>
              <w:ind w:left="218"/>
              <w:rPr>
                <w:color w:val="0000FF"/>
              </w:rPr>
            </w:pPr>
            <w:r>
              <w:rPr>
                <w:rFonts w:hint="eastAsia"/>
                <w:color w:val="0000FF"/>
                <w:spacing w:val="-2"/>
                <w:lang w:val="en-US" w:eastAsia="zh-CN"/>
              </w:rPr>
              <w:t>4</w:t>
            </w:r>
            <w:r>
              <w:rPr>
                <w:color w:val="0000FF"/>
                <w:spacing w:val="-2"/>
              </w:rPr>
              <w:t>500.00</w:t>
            </w:r>
          </w:p>
        </w:tc>
      </w:tr>
      <w:tr w14:paraId="77325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65" w:type="dxa"/>
            <w:vAlign w:val="top"/>
          </w:tcPr>
          <w:p w14:paraId="4F4E70FC">
            <w:pPr>
              <w:pStyle w:val="20"/>
              <w:spacing w:before="184" w:line="241" w:lineRule="auto"/>
              <w:ind w:left="164"/>
              <w:rPr>
                <w:color w:val="0000FF"/>
              </w:rPr>
            </w:pPr>
            <w:r>
              <w:rPr>
                <w:color w:val="0000FF"/>
              </w:rPr>
              <w:t>4</w:t>
            </w:r>
          </w:p>
        </w:tc>
        <w:tc>
          <w:tcPr>
            <w:tcW w:w="859" w:type="dxa"/>
            <w:vAlign w:val="top"/>
          </w:tcPr>
          <w:p w14:paraId="33B2B83E">
            <w:pPr>
              <w:pStyle w:val="20"/>
              <w:spacing w:before="163" w:line="220" w:lineRule="auto"/>
              <w:ind w:left="90"/>
              <w:rPr>
                <w:color w:val="0000FF"/>
              </w:rPr>
            </w:pPr>
            <w:r>
              <w:rPr>
                <w:color w:val="0000FF"/>
                <w:spacing w:val="2"/>
              </w:rPr>
              <w:t>富士达</w:t>
            </w:r>
          </w:p>
        </w:tc>
        <w:tc>
          <w:tcPr>
            <w:tcW w:w="2108" w:type="dxa"/>
            <w:vAlign w:val="top"/>
          </w:tcPr>
          <w:p w14:paraId="193C21B3">
            <w:pPr>
              <w:pStyle w:val="20"/>
              <w:spacing w:before="26" w:line="211" w:lineRule="auto"/>
              <w:ind w:left="329" w:right="178" w:hanging="169"/>
              <w:rPr>
                <w:color w:val="0000FF"/>
              </w:rPr>
            </w:pPr>
            <w:r>
              <w:rPr>
                <w:color w:val="0000FF"/>
                <w:spacing w:val="-1"/>
              </w:rPr>
              <w:t>NEWVFB-II-1600kg</w:t>
            </w:r>
            <w:r>
              <w:rPr>
                <w:color w:val="0000FF"/>
                <w:spacing w:val="13"/>
              </w:rPr>
              <w:t xml:space="preserve"> </w:t>
            </w:r>
            <w:r>
              <w:rPr>
                <w:color w:val="0000FF"/>
                <w:spacing w:val="-1"/>
              </w:rPr>
              <w:t>90m/min-6F/6T</w:t>
            </w:r>
          </w:p>
        </w:tc>
        <w:tc>
          <w:tcPr>
            <w:tcW w:w="1049" w:type="dxa"/>
            <w:vAlign w:val="top"/>
          </w:tcPr>
          <w:p w14:paraId="27D673F4">
            <w:pPr>
              <w:pStyle w:val="20"/>
              <w:spacing w:before="169" w:line="224" w:lineRule="auto"/>
              <w:jc w:val="left"/>
              <w:rPr>
                <w:color w:val="0000FF"/>
                <w:spacing w:val="-2"/>
              </w:rPr>
            </w:pPr>
            <w:r>
              <w:rPr>
                <w:rFonts w:hint="eastAsia"/>
                <w:color w:val="0000FF"/>
              </w:rPr>
              <w:t>3110511100202400</w:t>
            </w:r>
            <w:r>
              <w:rPr>
                <w:rFonts w:hint="eastAsia"/>
                <w:color w:val="0000FF"/>
                <w:lang w:val="en-US" w:eastAsia="zh-CN"/>
              </w:rPr>
              <w:t>20</w:t>
            </w:r>
          </w:p>
        </w:tc>
        <w:tc>
          <w:tcPr>
            <w:tcW w:w="1049" w:type="dxa"/>
            <w:vAlign w:val="top"/>
          </w:tcPr>
          <w:p w14:paraId="5118EEF2">
            <w:pPr>
              <w:pStyle w:val="20"/>
              <w:spacing w:before="169" w:line="224" w:lineRule="auto"/>
              <w:ind w:left="243"/>
              <w:rPr>
                <w:color w:val="0000FF"/>
              </w:rPr>
            </w:pPr>
            <w:r>
              <w:rPr>
                <w:color w:val="0000FF"/>
                <w:spacing w:val="-2"/>
              </w:rPr>
              <w:t>6/6/6</w:t>
            </w:r>
          </w:p>
        </w:tc>
        <w:tc>
          <w:tcPr>
            <w:tcW w:w="889" w:type="dxa"/>
            <w:vAlign w:val="top"/>
          </w:tcPr>
          <w:p w14:paraId="1681602B">
            <w:pPr>
              <w:pStyle w:val="20"/>
              <w:spacing w:before="184" w:line="239" w:lineRule="auto"/>
              <w:ind w:left="274"/>
              <w:rPr>
                <w:color w:val="0000FF"/>
              </w:rPr>
            </w:pPr>
            <w:r>
              <w:rPr>
                <w:color w:val="0000FF"/>
                <w:spacing w:val="-6"/>
              </w:rPr>
              <w:t>1.5</w:t>
            </w:r>
          </w:p>
        </w:tc>
        <w:tc>
          <w:tcPr>
            <w:tcW w:w="609" w:type="dxa"/>
            <w:vAlign w:val="top"/>
          </w:tcPr>
          <w:p w14:paraId="7AC8E965">
            <w:pPr>
              <w:pStyle w:val="20"/>
              <w:spacing w:before="184" w:line="241" w:lineRule="auto"/>
              <w:ind w:left="245"/>
              <w:rPr>
                <w:color w:val="0000FF"/>
              </w:rPr>
            </w:pPr>
            <w:r>
              <w:rPr>
                <w:color w:val="0000FF"/>
              </w:rPr>
              <w:t>1</w:t>
            </w:r>
          </w:p>
        </w:tc>
        <w:tc>
          <w:tcPr>
            <w:tcW w:w="1349" w:type="dxa"/>
            <w:vAlign w:val="top"/>
          </w:tcPr>
          <w:p w14:paraId="407D3E22">
            <w:pPr>
              <w:pStyle w:val="20"/>
              <w:spacing w:before="193" w:line="239" w:lineRule="auto"/>
              <w:ind w:left="287" w:leftChars="0"/>
              <w:rPr>
                <w:color w:val="0000FF"/>
              </w:rPr>
            </w:pPr>
            <w:r>
              <w:rPr>
                <w:rFonts w:hint="eastAsia"/>
                <w:color w:val="0000FF"/>
                <w:spacing w:val="-2"/>
                <w:lang w:val="en-US" w:eastAsia="zh-CN"/>
              </w:rPr>
              <w:t>4</w:t>
            </w:r>
            <w:r>
              <w:rPr>
                <w:color w:val="0000FF"/>
                <w:spacing w:val="-2"/>
              </w:rPr>
              <w:t>500.00</w:t>
            </w:r>
          </w:p>
        </w:tc>
        <w:tc>
          <w:tcPr>
            <w:tcW w:w="1224" w:type="dxa"/>
            <w:vAlign w:val="top"/>
          </w:tcPr>
          <w:p w14:paraId="1419DBFC">
            <w:pPr>
              <w:pStyle w:val="20"/>
              <w:spacing w:before="193" w:line="239" w:lineRule="auto"/>
              <w:ind w:left="218" w:leftChars="0"/>
              <w:rPr>
                <w:color w:val="0000FF"/>
              </w:rPr>
            </w:pPr>
            <w:r>
              <w:rPr>
                <w:rFonts w:hint="eastAsia"/>
                <w:color w:val="0000FF"/>
                <w:spacing w:val="-2"/>
                <w:lang w:val="en-US" w:eastAsia="zh-CN"/>
              </w:rPr>
              <w:t>4</w:t>
            </w:r>
            <w:r>
              <w:rPr>
                <w:color w:val="0000FF"/>
                <w:spacing w:val="-2"/>
              </w:rPr>
              <w:t>500.00</w:t>
            </w:r>
          </w:p>
        </w:tc>
      </w:tr>
      <w:tr w14:paraId="349AB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465" w:type="dxa"/>
            <w:vAlign w:val="top"/>
          </w:tcPr>
          <w:p w14:paraId="554F9217">
            <w:pPr>
              <w:pStyle w:val="20"/>
              <w:spacing w:before="126" w:line="229" w:lineRule="auto"/>
              <w:ind w:left="164"/>
              <w:rPr>
                <w:color w:val="0000FF"/>
              </w:rPr>
            </w:pPr>
            <w:r>
              <w:rPr>
                <w:color w:val="0000FF"/>
              </w:rPr>
              <w:t>5</w:t>
            </w:r>
          </w:p>
        </w:tc>
        <w:tc>
          <w:tcPr>
            <w:tcW w:w="859" w:type="dxa"/>
            <w:vAlign w:val="top"/>
          </w:tcPr>
          <w:p w14:paraId="3766B1A2">
            <w:pPr>
              <w:pStyle w:val="20"/>
              <w:spacing w:before="104" w:line="220" w:lineRule="auto"/>
              <w:ind w:left="90"/>
              <w:rPr>
                <w:color w:val="0000FF"/>
              </w:rPr>
            </w:pPr>
            <w:r>
              <w:rPr>
                <w:color w:val="0000FF"/>
                <w:spacing w:val="2"/>
              </w:rPr>
              <w:t>富士达</w:t>
            </w:r>
          </w:p>
        </w:tc>
        <w:tc>
          <w:tcPr>
            <w:tcW w:w="2108" w:type="dxa"/>
            <w:vAlign w:val="top"/>
          </w:tcPr>
          <w:p w14:paraId="7481968B">
            <w:pPr>
              <w:pStyle w:val="20"/>
              <w:spacing w:before="102" w:line="218" w:lineRule="auto"/>
              <w:ind w:left="220"/>
              <w:rPr>
                <w:color w:val="0000FF"/>
              </w:rPr>
            </w:pPr>
            <w:r>
              <w:rPr>
                <w:color w:val="0000FF"/>
                <w:spacing w:val="-1"/>
              </w:rPr>
              <w:t>TBJ1600/1.0-JXW</w:t>
            </w:r>
          </w:p>
        </w:tc>
        <w:tc>
          <w:tcPr>
            <w:tcW w:w="1049" w:type="dxa"/>
            <w:vAlign w:val="top"/>
          </w:tcPr>
          <w:p w14:paraId="664B8EE6">
            <w:pPr>
              <w:pStyle w:val="20"/>
              <w:spacing w:before="110" w:line="224" w:lineRule="auto"/>
              <w:jc w:val="left"/>
              <w:rPr>
                <w:color w:val="0000FF"/>
                <w:spacing w:val="-2"/>
              </w:rPr>
            </w:pPr>
            <w:r>
              <w:rPr>
                <w:rFonts w:hint="eastAsia"/>
                <w:color w:val="0000FF"/>
              </w:rPr>
              <w:t>3110511100202400</w:t>
            </w:r>
            <w:r>
              <w:rPr>
                <w:rFonts w:hint="eastAsia"/>
                <w:color w:val="0000FF"/>
                <w:lang w:val="en-US" w:eastAsia="zh-CN"/>
              </w:rPr>
              <w:t>22</w:t>
            </w:r>
          </w:p>
        </w:tc>
        <w:tc>
          <w:tcPr>
            <w:tcW w:w="1049" w:type="dxa"/>
            <w:vAlign w:val="top"/>
          </w:tcPr>
          <w:p w14:paraId="62194489">
            <w:pPr>
              <w:pStyle w:val="20"/>
              <w:spacing w:before="110" w:line="224" w:lineRule="auto"/>
              <w:ind w:left="243"/>
              <w:rPr>
                <w:color w:val="0000FF"/>
              </w:rPr>
            </w:pPr>
            <w:r>
              <w:rPr>
                <w:color w:val="0000FF"/>
                <w:spacing w:val="-2"/>
              </w:rPr>
              <w:t>6/6/6</w:t>
            </w:r>
          </w:p>
        </w:tc>
        <w:tc>
          <w:tcPr>
            <w:tcW w:w="889" w:type="dxa"/>
            <w:vAlign w:val="top"/>
          </w:tcPr>
          <w:p w14:paraId="34CEF654">
            <w:pPr>
              <w:pStyle w:val="20"/>
              <w:spacing w:before="126" w:line="229" w:lineRule="auto"/>
              <w:ind w:left="274"/>
              <w:rPr>
                <w:color w:val="0000FF"/>
              </w:rPr>
            </w:pPr>
            <w:r>
              <w:rPr>
                <w:color w:val="0000FF"/>
                <w:spacing w:val="-6"/>
              </w:rPr>
              <w:t>1.0</w:t>
            </w:r>
          </w:p>
        </w:tc>
        <w:tc>
          <w:tcPr>
            <w:tcW w:w="609" w:type="dxa"/>
            <w:vAlign w:val="top"/>
          </w:tcPr>
          <w:p w14:paraId="52091BE9">
            <w:pPr>
              <w:pStyle w:val="20"/>
              <w:spacing w:before="126" w:line="229" w:lineRule="auto"/>
              <w:ind w:left="245"/>
              <w:rPr>
                <w:color w:val="0000FF"/>
              </w:rPr>
            </w:pPr>
            <w:r>
              <w:rPr>
                <w:color w:val="0000FF"/>
              </w:rPr>
              <w:t>1</w:t>
            </w:r>
          </w:p>
        </w:tc>
        <w:tc>
          <w:tcPr>
            <w:tcW w:w="1349" w:type="dxa"/>
            <w:vAlign w:val="top"/>
          </w:tcPr>
          <w:p w14:paraId="03685F86">
            <w:pPr>
              <w:pStyle w:val="20"/>
              <w:spacing w:before="193" w:line="239" w:lineRule="auto"/>
              <w:ind w:left="287" w:leftChars="0"/>
              <w:rPr>
                <w:color w:val="0000FF"/>
              </w:rPr>
            </w:pPr>
            <w:r>
              <w:rPr>
                <w:rFonts w:hint="eastAsia"/>
                <w:color w:val="0000FF"/>
                <w:spacing w:val="-2"/>
                <w:lang w:val="en-US" w:eastAsia="zh-CN"/>
              </w:rPr>
              <w:t>4</w:t>
            </w:r>
            <w:r>
              <w:rPr>
                <w:color w:val="0000FF"/>
                <w:spacing w:val="-2"/>
              </w:rPr>
              <w:t>500.00</w:t>
            </w:r>
          </w:p>
        </w:tc>
        <w:tc>
          <w:tcPr>
            <w:tcW w:w="1224" w:type="dxa"/>
            <w:vAlign w:val="top"/>
          </w:tcPr>
          <w:p w14:paraId="76189045">
            <w:pPr>
              <w:pStyle w:val="20"/>
              <w:spacing w:before="193" w:line="239" w:lineRule="auto"/>
              <w:ind w:left="218" w:leftChars="0"/>
              <w:rPr>
                <w:color w:val="0000FF"/>
              </w:rPr>
            </w:pPr>
            <w:r>
              <w:rPr>
                <w:rFonts w:hint="eastAsia"/>
                <w:color w:val="0000FF"/>
                <w:spacing w:val="-2"/>
                <w:lang w:val="en-US" w:eastAsia="zh-CN"/>
              </w:rPr>
              <w:t>4</w:t>
            </w:r>
            <w:r>
              <w:rPr>
                <w:color w:val="0000FF"/>
                <w:spacing w:val="-2"/>
              </w:rPr>
              <w:t>500.00</w:t>
            </w:r>
          </w:p>
        </w:tc>
      </w:tr>
      <w:tr w14:paraId="312CB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65" w:type="dxa"/>
            <w:vAlign w:val="top"/>
          </w:tcPr>
          <w:p w14:paraId="75A168EC">
            <w:pPr>
              <w:pStyle w:val="20"/>
              <w:spacing w:before="196"/>
              <w:ind w:left="164"/>
              <w:rPr>
                <w:color w:val="0000FF"/>
              </w:rPr>
            </w:pPr>
            <w:r>
              <w:rPr>
                <w:color w:val="0000FF"/>
              </w:rPr>
              <w:t>6</w:t>
            </w:r>
          </w:p>
        </w:tc>
        <w:tc>
          <w:tcPr>
            <w:tcW w:w="859" w:type="dxa"/>
            <w:vAlign w:val="top"/>
          </w:tcPr>
          <w:p w14:paraId="3083D742">
            <w:pPr>
              <w:pStyle w:val="20"/>
              <w:spacing w:before="175" w:line="220" w:lineRule="auto"/>
              <w:ind w:left="90"/>
              <w:rPr>
                <w:color w:val="0000FF"/>
              </w:rPr>
            </w:pPr>
            <w:r>
              <w:rPr>
                <w:color w:val="0000FF"/>
                <w:spacing w:val="2"/>
              </w:rPr>
              <w:t>富士达</w:t>
            </w:r>
          </w:p>
        </w:tc>
        <w:tc>
          <w:tcPr>
            <w:tcW w:w="2108" w:type="dxa"/>
            <w:vAlign w:val="top"/>
          </w:tcPr>
          <w:p w14:paraId="0425B535">
            <w:pPr>
              <w:pStyle w:val="20"/>
              <w:spacing w:before="38" w:line="210" w:lineRule="auto"/>
              <w:ind w:left="491" w:right="122" w:hanging="380"/>
              <w:rPr>
                <w:color w:val="0000FF"/>
              </w:rPr>
            </w:pPr>
            <w:r>
              <w:rPr>
                <w:color w:val="0000FF"/>
                <w:spacing w:val="-1"/>
              </w:rPr>
              <w:t>GLVF-E-1050kg-90m</w:t>
            </w:r>
            <w:r>
              <w:rPr>
                <w:color w:val="0000FF"/>
                <w:spacing w:val="10"/>
              </w:rPr>
              <w:t xml:space="preserve"> </w:t>
            </w:r>
            <w:r>
              <w:rPr>
                <w:color w:val="0000FF"/>
                <w:spacing w:val="-1"/>
              </w:rPr>
              <w:t>/min/7F/7T</w:t>
            </w:r>
          </w:p>
        </w:tc>
        <w:tc>
          <w:tcPr>
            <w:tcW w:w="1049" w:type="dxa"/>
            <w:vAlign w:val="top"/>
          </w:tcPr>
          <w:p w14:paraId="2EBB32CE">
            <w:pPr>
              <w:pStyle w:val="20"/>
              <w:spacing w:before="181" w:line="224" w:lineRule="auto"/>
              <w:jc w:val="left"/>
              <w:rPr>
                <w:color w:val="0000FF"/>
                <w:spacing w:val="-3"/>
              </w:rPr>
            </w:pPr>
            <w:r>
              <w:rPr>
                <w:rFonts w:hint="eastAsia"/>
                <w:color w:val="0000FF"/>
              </w:rPr>
              <w:t>3110511100202400</w:t>
            </w:r>
            <w:r>
              <w:rPr>
                <w:rFonts w:hint="eastAsia"/>
                <w:color w:val="0000FF"/>
                <w:lang w:val="en-US" w:eastAsia="zh-CN"/>
              </w:rPr>
              <w:t>21</w:t>
            </w:r>
          </w:p>
        </w:tc>
        <w:tc>
          <w:tcPr>
            <w:tcW w:w="1049" w:type="dxa"/>
            <w:vAlign w:val="top"/>
          </w:tcPr>
          <w:p w14:paraId="3911E156">
            <w:pPr>
              <w:pStyle w:val="20"/>
              <w:spacing w:before="181" w:line="224" w:lineRule="auto"/>
              <w:ind w:left="243"/>
              <w:rPr>
                <w:color w:val="0000FF"/>
              </w:rPr>
            </w:pPr>
            <w:r>
              <w:rPr>
                <w:color w:val="0000FF"/>
                <w:spacing w:val="-3"/>
              </w:rPr>
              <w:t>7/7/7</w:t>
            </w:r>
          </w:p>
        </w:tc>
        <w:tc>
          <w:tcPr>
            <w:tcW w:w="889" w:type="dxa"/>
            <w:vAlign w:val="top"/>
          </w:tcPr>
          <w:p w14:paraId="6B663088">
            <w:pPr>
              <w:pStyle w:val="20"/>
              <w:spacing w:before="196" w:line="239" w:lineRule="auto"/>
              <w:ind w:left="274"/>
              <w:rPr>
                <w:color w:val="0000FF"/>
              </w:rPr>
            </w:pPr>
            <w:r>
              <w:rPr>
                <w:color w:val="0000FF"/>
                <w:spacing w:val="-6"/>
              </w:rPr>
              <w:t>1.5</w:t>
            </w:r>
          </w:p>
        </w:tc>
        <w:tc>
          <w:tcPr>
            <w:tcW w:w="609" w:type="dxa"/>
            <w:vAlign w:val="top"/>
          </w:tcPr>
          <w:p w14:paraId="766B278D">
            <w:pPr>
              <w:pStyle w:val="20"/>
              <w:spacing w:before="197" w:line="241" w:lineRule="auto"/>
              <w:ind w:left="245"/>
              <w:rPr>
                <w:color w:val="0000FF"/>
              </w:rPr>
            </w:pPr>
            <w:r>
              <w:rPr>
                <w:color w:val="0000FF"/>
              </w:rPr>
              <w:t>1</w:t>
            </w:r>
          </w:p>
        </w:tc>
        <w:tc>
          <w:tcPr>
            <w:tcW w:w="1349" w:type="dxa"/>
            <w:vAlign w:val="top"/>
          </w:tcPr>
          <w:p w14:paraId="393CA614">
            <w:pPr>
              <w:pStyle w:val="20"/>
              <w:spacing w:before="196" w:line="239" w:lineRule="auto"/>
              <w:ind w:left="287"/>
              <w:rPr>
                <w:color w:val="0000FF"/>
              </w:rPr>
            </w:pPr>
            <w:r>
              <w:rPr>
                <w:rFonts w:hint="eastAsia"/>
                <w:color w:val="0000FF"/>
                <w:spacing w:val="-2"/>
                <w:lang w:val="en-US" w:eastAsia="zh-CN"/>
              </w:rPr>
              <w:t>4</w:t>
            </w:r>
            <w:r>
              <w:rPr>
                <w:color w:val="0000FF"/>
                <w:spacing w:val="-2"/>
              </w:rPr>
              <w:t>500.00</w:t>
            </w:r>
          </w:p>
        </w:tc>
        <w:tc>
          <w:tcPr>
            <w:tcW w:w="1224" w:type="dxa"/>
            <w:vAlign w:val="top"/>
          </w:tcPr>
          <w:p w14:paraId="4A60DD4C">
            <w:pPr>
              <w:pStyle w:val="20"/>
              <w:spacing w:before="196" w:line="239" w:lineRule="auto"/>
              <w:ind w:left="218"/>
              <w:rPr>
                <w:color w:val="0000FF"/>
              </w:rPr>
            </w:pPr>
            <w:r>
              <w:rPr>
                <w:rFonts w:hint="eastAsia"/>
                <w:color w:val="0000FF"/>
                <w:spacing w:val="-2"/>
                <w:lang w:val="en-US" w:eastAsia="zh-CN"/>
              </w:rPr>
              <w:t>4</w:t>
            </w:r>
            <w:r>
              <w:rPr>
                <w:color w:val="0000FF"/>
                <w:spacing w:val="-2"/>
              </w:rPr>
              <w:t>500.00</w:t>
            </w:r>
          </w:p>
        </w:tc>
      </w:tr>
      <w:tr w14:paraId="5BC4F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3432" w:type="dxa"/>
            <w:gridSpan w:val="3"/>
            <w:vAlign w:val="top"/>
          </w:tcPr>
          <w:p w14:paraId="764EBF0C">
            <w:pPr>
              <w:pStyle w:val="20"/>
              <w:spacing w:before="119" w:line="221" w:lineRule="auto"/>
              <w:ind w:left="1464"/>
              <w:rPr>
                <w:color w:val="0000FF"/>
              </w:rPr>
            </w:pPr>
            <w:r>
              <w:rPr>
                <w:color w:val="0000FF"/>
                <w:spacing w:val="-3"/>
              </w:rPr>
              <w:t>合计</w:t>
            </w:r>
          </w:p>
        </w:tc>
        <w:tc>
          <w:tcPr>
            <w:tcW w:w="1049" w:type="dxa"/>
            <w:vAlign w:val="top"/>
          </w:tcPr>
          <w:p w14:paraId="3290E6E2">
            <w:pPr>
              <w:pStyle w:val="20"/>
              <w:spacing w:before="124" w:line="224" w:lineRule="auto"/>
              <w:ind w:left="462"/>
              <w:rPr>
                <w:color w:val="0000FF"/>
              </w:rPr>
            </w:pPr>
          </w:p>
        </w:tc>
        <w:tc>
          <w:tcPr>
            <w:tcW w:w="1049" w:type="dxa"/>
            <w:vAlign w:val="top"/>
          </w:tcPr>
          <w:p w14:paraId="2929633F">
            <w:pPr>
              <w:pStyle w:val="20"/>
              <w:spacing w:before="124" w:line="224" w:lineRule="auto"/>
              <w:ind w:left="462"/>
              <w:rPr>
                <w:color w:val="0000FF"/>
              </w:rPr>
            </w:pPr>
            <w:r>
              <w:rPr>
                <w:color w:val="0000FF"/>
              </w:rPr>
              <w:t>/</w:t>
            </w:r>
          </w:p>
        </w:tc>
        <w:tc>
          <w:tcPr>
            <w:tcW w:w="889" w:type="dxa"/>
            <w:vAlign w:val="top"/>
          </w:tcPr>
          <w:p w14:paraId="362D988A">
            <w:pPr>
              <w:pStyle w:val="20"/>
              <w:spacing w:before="124" w:line="224" w:lineRule="auto"/>
              <w:ind w:left="384"/>
              <w:rPr>
                <w:color w:val="0000FF"/>
              </w:rPr>
            </w:pPr>
            <w:r>
              <w:rPr>
                <w:color w:val="0000FF"/>
              </w:rPr>
              <w:t>/</w:t>
            </w:r>
          </w:p>
        </w:tc>
        <w:tc>
          <w:tcPr>
            <w:tcW w:w="609" w:type="dxa"/>
            <w:vAlign w:val="top"/>
          </w:tcPr>
          <w:p w14:paraId="57614F06">
            <w:pPr>
              <w:pStyle w:val="20"/>
              <w:spacing w:before="140" w:line="234" w:lineRule="auto"/>
              <w:ind w:left="245"/>
              <w:rPr>
                <w:rFonts w:hint="eastAsia" w:eastAsia="宋体"/>
                <w:color w:val="0000FF"/>
                <w:lang w:eastAsia="zh-CN"/>
              </w:rPr>
            </w:pPr>
            <w:r>
              <w:rPr>
                <w:rFonts w:hint="eastAsia"/>
                <w:color w:val="0000FF"/>
                <w:lang w:val="en-US" w:eastAsia="zh-CN"/>
              </w:rPr>
              <w:t>6</w:t>
            </w:r>
          </w:p>
        </w:tc>
        <w:tc>
          <w:tcPr>
            <w:tcW w:w="1349" w:type="dxa"/>
            <w:vAlign w:val="top"/>
          </w:tcPr>
          <w:p w14:paraId="48C634A9">
            <w:pPr>
              <w:pStyle w:val="20"/>
              <w:spacing w:before="124" w:line="224" w:lineRule="auto"/>
              <w:ind w:left="618"/>
              <w:rPr>
                <w:color w:val="0000FF"/>
              </w:rPr>
            </w:pPr>
            <w:r>
              <w:rPr>
                <w:color w:val="0000FF"/>
              </w:rPr>
              <w:t>/</w:t>
            </w:r>
          </w:p>
        </w:tc>
        <w:tc>
          <w:tcPr>
            <w:tcW w:w="1224" w:type="dxa"/>
            <w:vAlign w:val="top"/>
          </w:tcPr>
          <w:p w14:paraId="570D7704">
            <w:pPr>
              <w:pStyle w:val="20"/>
              <w:spacing w:before="140" w:line="234" w:lineRule="auto"/>
              <w:ind w:left="169"/>
              <w:rPr>
                <w:color w:val="0000FF"/>
              </w:rPr>
            </w:pPr>
            <w:r>
              <w:rPr>
                <w:color w:val="0000FF"/>
                <w:spacing w:val="-2"/>
              </w:rPr>
              <w:t>2</w:t>
            </w:r>
            <w:r>
              <w:rPr>
                <w:rFonts w:hint="eastAsia"/>
                <w:color w:val="0000FF"/>
                <w:spacing w:val="-2"/>
                <w:lang w:val="en-US" w:eastAsia="zh-CN"/>
              </w:rPr>
              <w:t>70</w:t>
            </w:r>
            <w:r>
              <w:rPr>
                <w:color w:val="0000FF"/>
                <w:spacing w:val="-2"/>
              </w:rPr>
              <w:t>00.00</w:t>
            </w:r>
          </w:p>
        </w:tc>
      </w:tr>
    </w:tbl>
    <w:p w14:paraId="38D57EBA">
      <w:pPr>
        <w:numPr>
          <w:ilvl w:val="0"/>
          <w:numId w:val="0"/>
        </w:numPr>
        <w:tabs>
          <w:tab w:val="left" w:pos="0"/>
        </w:tabs>
        <w:ind w:leftChars="0" w:firstLine="562" w:firstLineChars="200"/>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 xml:space="preserve"> </w:t>
      </w:r>
    </w:p>
    <w:p w14:paraId="0764E9AA">
      <w:pPr>
        <w:numPr>
          <w:ilvl w:val="0"/>
          <w:numId w:val="0"/>
        </w:numPr>
        <w:tabs>
          <w:tab w:val="left" w:pos="0"/>
        </w:tabs>
        <w:spacing w:line="600" w:lineRule="exact"/>
        <w:ind w:left="0" w:leftChars="0" w:firstLine="0" w:firstLineChars="0"/>
        <w:rPr>
          <w:rFonts w:hint="eastAsia" w:ascii="仿宋" w:hAnsi="仿宋" w:eastAsia="仿宋" w:cs="仿宋"/>
          <w:b/>
          <w:bCs/>
          <w:kern w:val="2"/>
          <w:sz w:val="28"/>
          <w:szCs w:val="28"/>
          <w:lang w:val="en-US" w:eastAsia="zh-CN" w:bidi="ar-SA"/>
        </w:rPr>
      </w:pPr>
    </w:p>
    <w:p w14:paraId="78EC17F1">
      <w:pPr>
        <w:numPr>
          <w:ilvl w:val="0"/>
          <w:numId w:val="0"/>
        </w:numPr>
        <w:tabs>
          <w:tab w:val="left" w:pos="0"/>
        </w:tabs>
        <w:spacing w:line="600" w:lineRule="exact"/>
        <w:ind w:left="0" w:leftChars="0" w:firstLine="0" w:firstLineChars="0"/>
        <w:rPr>
          <w:rFonts w:hint="eastAsia" w:ascii="仿宋" w:hAnsi="仿宋" w:eastAsia="仿宋" w:cs="仿宋"/>
          <w:b/>
          <w:bCs/>
          <w:kern w:val="2"/>
          <w:sz w:val="28"/>
          <w:szCs w:val="28"/>
          <w:lang w:val="en-US" w:eastAsia="zh-CN" w:bidi="ar-SA"/>
        </w:rPr>
      </w:pPr>
    </w:p>
    <w:p w14:paraId="6392381A">
      <w:pPr>
        <w:numPr>
          <w:ilvl w:val="0"/>
          <w:numId w:val="0"/>
        </w:numPr>
        <w:tabs>
          <w:tab w:val="left" w:pos="0"/>
        </w:tabs>
        <w:spacing w:line="600" w:lineRule="exact"/>
        <w:ind w:firstLine="840" w:firstLineChars="300"/>
        <w:rPr>
          <w:rFonts w:hint="eastAsia" w:ascii="黑体" w:hAnsi="黑体" w:eastAsia="黑体" w:cs="黑体"/>
          <w:b w:val="0"/>
          <w:bCs w:val="0"/>
          <w:sz w:val="28"/>
          <w:szCs w:val="28"/>
        </w:rPr>
      </w:pPr>
      <w:r>
        <w:rPr>
          <w:rFonts w:hint="eastAsia" w:ascii="黑体" w:hAnsi="黑体" w:eastAsia="黑体" w:cs="黑体"/>
          <w:b w:val="0"/>
          <w:bCs w:val="0"/>
          <w:kern w:val="2"/>
          <w:sz w:val="28"/>
          <w:szCs w:val="28"/>
          <w:lang w:val="en-US" w:eastAsia="zh-CN" w:bidi="ar-SA"/>
        </w:rPr>
        <w:t>三、</w:t>
      </w:r>
      <w:r>
        <w:rPr>
          <w:rFonts w:hint="eastAsia" w:ascii="黑体" w:hAnsi="黑体" w:eastAsia="黑体" w:cs="黑体"/>
          <w:b w:val="0"/>
          <w:bCs w:val="0"/>
          <w:sz w:val="28"/>
          <w:szCs w:val="28"/>
        </w:rPr>
        <w:t>商务要求</w:t>
      </w:r>
    </w:p>
    <w:p w14:paraId="74D76E08">
      <w:pPr>
        <w:numPr>
          <w:ilvl w:val="0"/>
          <w:numId w:val="0"/>
        </w:numPr>
        <w:tabs>
          <w:tab w:val="left" w:pos="0"/>
        </w:tabs>
        <w:spacing w:line="600" w:lineRule="exact"/>
        <w:ind w:left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电梯维保分为半月、季度、半年、年度四类。</w:t>
      </w:r>
    </w:p>
    <w:p w14:paraId="091CCF54">
      <w:pPr>
        <w:numPr>
          <w:ilvl w:val="0"/>
          <w:numId w:val="0"/>
        </w:numPr>
        <w:tabs>
          <w:tab w:val="left" w:pos="0"/>
        </w:tabs>
        <w:spacing w:line="600" w:lineRule="exact"/>
        <w:ind w:leftChars="0"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（一）乘客电梯、载货电梯(半月)维护保养项目及要求</w:t>
      </w:r>
    </w:p>
    <w:tbl>
      <w:tblPr>
        <w:tblStyle w:val="21"/>
        <w:tblW w:w="89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
        <w:gridCol w:w="3736"/>
        <w:gridCol w:w="839"/>
        <w:gridCol w:w="3737"/>
      </w:tblGrid>
      <w:tr w14:paraId="6D4B7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4" w:hRule="atLeast"/>
        </w:trPr>
        <w:tc>
          <w:tcPr>
            <w:tcW w:w="634" w:type="dxa"/>
            <w:vAlign w:val="top"/>
          </w:tcPr>
          <w:p w14:paraId="0A93308A">
            <w:pPr>
              <w:spacing w:line="302" w:lineRule="auto"/>
              <w:rPr>
                <w:rFonts w:hint="eastAsia" w:ascii="宋体" w:hAnsi="宋体" w:eastAsia="宋体" w:cs="宋体"/>
                <w:sz w:val="19"/>
                <w:szCs w:val="19"/>
              </w:rPr>
            </w:pPr>
          </w:p>
          <w:p w14:paraId="16290CBC">
            <w:pPr>
              <w:pStyle w:val="20"/>
              <w:spacing w:before="59" w:line="221" w:lineRule="auto"/>
              <w:ind w:left="124"/>
              <w:rPr>
                <w:rFonts w:hint="eastAsia" w:ascii="宋体" w:hAnsi="宋体" w:eastAsia="宋体" w:cs="宋体"/>
                <w:sz w:val="19"/>
                <w:szCs w:val="19"/>
              </w:rPr>
            </w:pPr>
            <w:r>
              <w:rPr>
                <w:rFonts w:hint="eastAsia" w:ascii="宋体" w:hAnsi="宋体" w:eastAsia="宋体" w:cs="宋体"/>
                <w:spacing w:val="-2"/>
                <w:sz w:val="19"/>
                <w:szCs w:val="19"/>
              </w:rPr>
              <w:t>序号</w:t>
            </w:r>
          </w:p>
        </w:tc>
        <w:tc>
          <w:tcPr>
            <w:tcW w:w="3736" w:type="dxa"/>
            <w:vAlign w:val="top"/>
          </w:tcPr>
          <w:p w14:paraId="3B11A8E2">
            <w:pPr>
              <w:spacing w:line="302" w:lineRule="auto"/>
              <w:rPr>
                <w:rFonts w:hint="eastAsia" w:ascii="宋体" w:hAnsi="宋体" w:eastAsia="宋体" w:cs="宋体"/>
                <w:sz w:val="19"/>
                <w:szCs w:val="19"/>
              </w:rPr>
            </w:pPr>
          </w:p>
          <w:p w14:paraId="0591808A">
            <w:pPr>
              <w:pStyle w:val="20"/>
              <w:spacing w:before="58" w:line="219" w:lineRule="auto"/>
              <w:ind w:left="111"/>
              <w:rPr>
                <w:rFonts w:hint="eastAsia" w:ascii="宋体" w:hAnsi="宋体" w:eastAsia="宋体" w:cs="宋体"/>
                <w:sz w:val="19"/>
                <w:szCs w:val="19"/>
              </w:rPr>
            </w:pPr>
            <w:r>
              <w:rPr>
                <w:rFonts w:hint="eastAsia" w:ascii="宋体" w:hAnsi="宋体" w:eastAsia="宋体" w:cs="宋体"/>
                <w:spacing w:val="-1"/>
                <w:sz w:val="19"/>
                <w:szCs w:val="19"/>
              </w:rPr>
              <w:t>维护保养项目(内容)及要求</w:t>
            </w:r>
          </w:p>
        </w:tc>
        <w:tc>
          <w:tcPr>
            <w:tcW w:w="839" w:type="dxa"/>
            <w:vAlign w:val="top"/>
          </w:tcPr>
          <w:p w14:paraId="13C3DC65">
            <w:pPr>
              <w:spacing w:line="302" w:lineRule="auto"/>
              <w:rPr>
                <w:rFonts w:hint="eastAsia" w:ascii="宋体" w:hAnsi="宋体" w:eastAsia="宋体" w:cs="宋体"/>
                <w:sz w:val="19"/>
                <w:szCs w:val="19"/>
              </w:rPr>
            </w:pPr>
          </w:p>
          <w:p w14:paraId="195F0BB8">
            <w:pPr>
              <w:pStyle w:val="20"/>
              <w:spacing w:before="59" w:line="221" w:lineRule="auto"/>
              <w:ind w:left="235"/>
              <w:rPr>
                <w:rFonts w:hint="eastAsia" w:ascii="宋体" w:hAnsi="宋体" w:eastAsia="宋体" w:cs="宋体"/>
                <w:sz w:val="19"/>
                <w:szCs w:val="19"/>
              </w:rPr>
            </w:pPr>
            <w:r>
              <w:rPr>
                <w:rFonts w:hint="eastAsia" w:ascii="宋体" w:hAnsi="宋体" w:eastAsia="宋体" w:cs="宋体"/>
                <w:spacing w:val="-2"/>
                <w:sz w:val="19"/>
                <w:szCs w:val="19"/>
              </w:rPr>
              <w:t>序号</w:t>
            </w:r>
          </w:p>
        </w:tc>
        <w:tc>
          <w:tcPr>
            <w:tcW w:w="3737" w:type="dxa"/>
            <w:vAlign w:val="top"/>
          </w:tcPr>
          <w:p w14:paraId="4C649C39">
            <w:pPr>
              <w:spacing w:line="302" w:lineRule="auto"/>
              <w:rPr>
                <w:rFonts w:hint="eastAsia" w:ascii="宋体" w:hAnsi="宋体" w:eastAsia="宋体" w:cs="宋体"/>
                <w:sz w:val="19"/>
                <w:szCs w:val="19"/>
              </w:rPr>
            </w:pPr>
          </w:p>
          <w:p w14:paraId="4EE7EF05">
            <w:pPr>
              <w:pStyle w:val="20"/>
              <w:spacing w:before="58" w:line="219" w:lineRule="auto"/>
              <w:ind w:left="107"/>
              <w:rPr>
                <w:rFonts w:hint="eastAsia" w:ascii="宋体" w:hAnsi="宋体" w:eastAsia="宋体" w:cs="宋体"/>
                <w:sz w:val="19"/>
                <w:szCs w:val="19"/>
              </w:rPr>
            </w:pPr>
            <w:r>
              <w:rPr>
                <w:rFonts w:hint="eastAsia" w:ascii="宋体" w:hAnsi="宋体" w:eastAsia="宋体" w:cs="宋体"/>
                <w:spacing w:val="-1"/>
                <w:sz w:val="19"/>
                <w:szCs w:val="19"/>
              </w:rPr>
              <w:t>维护保养项目(内容)维护及要求</w:t>
            </w:r>
          </w:p>
        </w:tc>
      </w:tr>
      <w:tr w14:paraId="6FA76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34" w:type="dxa"/>
            <w:vAlign w:val="top"/>
          </w:tcPr>
          <w:p w14:paraId="32E29CE7">
            <w:pPr>
              <w:pStyle w:val="20"/>
              <w:spacing w:before="246" w:line="241" w:lineRule="auto"/>
              <w:ind w:left="264"/>
              <w:rPr>
                <w:rFonts w:hint="eastAsia" w:ascii="宋体" w:hAnsi="宋体" w:eastAsia="宋体" w:cs="宋体"/>
                <w:sz w:val="19"/>
                <w:szCs w:val="19"/>
              </w:rPr>
            </w:pPr>
            <w:r>
              <w:rPr>
                <w:rFonts w:hint="eastAsia" w:ascii="宋体" w:hAnsi="宋体" w:eastAsia="宋体" w:cs="宋体"/>
                <w:sz w:val="19"/>
                <w:szCs w:val="19"/>
              </w:rPr>
              <w:t>1</w:t>
            </w:r>
          </w:p>
        </w:tc>
        <w:tc>
          <w:tcPr>
            <w:tcW w:w="3736" w:type="dxa"/>
            <w:vAlign w:val="top"/>
          </w:tcPr>
          <w:p w14:paraId="0B98CFD2">
            <w:pPr>
              <w:pStyle w:val="20"/>
              <w:spacing w:before="67" w:line="219" w:lineRule="auto"/>
              <w:ind w:left="111"/>
              <w:rPr>
                <w:rFonts w:hint="eastAsia" w:ascii="宋体" w:hAnsi="宋体" w:eastAsia="宋体" w:cs="宋体"/>
                <w:sz w:val="19"/>
                <w:szCs w:val="19"/>
              </w:rPr>
            </w:pPr>
            <w:r>
              <w:rPr>
                <w:rFonts w:hint="eastAsia" w:ascii="宋体" w:hAnsi="宋体" w:eastAsia="宋体" w:cs="宋体"/>
                <w:spacing w:val="-1"/>
                <w:sz w:val="19"/>
                <w:szCs w:val="19"/>
              </w:rPr>
              <w:t>机房、滑轮间环境清洁，门窗完好，照明正常</w:t>
            </w:r>
          </w:p>
        </w:tc>
        <w:tc>
          <w:tcPr>
            <w:tcW w:w="839" w:type="dxa"/>
            <w:vAlign w:val="top"/>
          </w:tcPr>
          <w:p w14:paraId="58032916">
            <w:pPr>
              <w:pStyle w:val="20"/>
              <w:spacing w:before="245"/>
              <w:ind w:left="325"/>
              <w:rPr>
                <w:rFonts w:hint="eastAsia" w:ascii="宋体" w:hAnsi="宋体" w:eastAsia="宋体" w:cs="宋体"/>
                <w:sz w:val="19"/>
                <w:szCs w:val="19"/>
              </w:rPr>
            </w:pPr>
            <w:r>
              <w:rPr>
                <w:rFonts w:hint="eastAsia" w:ascii="宋体" w:hAnsi="宋体" w:eastAsia="宋体" w:cs="宋体"/>
                <w:spacing w:val="-6"/>
                <w:sz w:val="19"/>
                <w:szCs w:val="19"/>
              </w:rPr>
              <w:t>17</w:t>
            </w:r>
          </w:p>
        </w:tc>
        <w:tc>
          <w:tcPr>
            <w:tcW w:w="3737" w:type="dxa"/>
            <w:vAlign w:val="top"/>
          </w:tcPr>
          <w:p w14:paraId="4BC8808F">
            <w:pPr>
              <w:pStyle w:val="20"/>
              <w:spacing w:before="228" w:line="219" w:lineRule="auto"/>
              <w:ind w:left="107"/>
              <w:rPr>
                <w:rFonts w:hint="eastAsia" w:ascii="宋体" w:hAnsi="宋体" w:eastAsia="宋体" w:cs="宋体"/>
                <w:sz w:val="19"/>
                <w:szCs w:val="19"/>
              </w:rPr>
            </w:pPr>
            <w:r>
              <w:rPr>
                <w:rFonts w:hint="eastAsia" w:ascii="宋体" w:hAnsi="宋体" w:eastAsia="宋体" w:cs="宋体"/>
                <w:spacing w:val="-1"/>
                <w:sz w:val="19"/>
                <w:szCs w:val="19"/>
              </w:rPr>
              <w:t>轿厢检修开关、停止装置工作正常</w:t>
            </w:r>
          </w:p>
        </w:tc>
      </w:tr>
      <w:tr w14:paraId="0FF57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634" w:type="dxa"/>
            <w:vAlign w:val="top"/>
          </w:tcPr>
          <w:p w14:paraId="12A27D6A">
            <w:pPr>
              <w:pStyle w:val="20"/>
              <w:spacing w:before="137" w:line="241" w:lineRule="auto"/>
              <w:ind w:left="264"/>
              <w:rPr>
                <w:rFonts w:hint="eastAsia" w:ascii="宋体" w:hAnsi="宋体" w:eastAsia="宋体" w:cs="宋体"/>
                <w:sz w:val="19"/>
                <w:szCs w:val="19"/>
              </w:rPr>
            </w:pPr>
            <w:r>
              <w:rPr>
                <w:rFonts w:hint="eastAsia" w:ascii="宋体" w:hAnsi="宋体" w:eastAsia="宋体" w:cs="宋体"/>
                <w:sz w:val="19"/>
                <w:szCs w:val="19"/>
              </w:rPr>
              <w:t>2</w:t>
            </w:r>
          </w:p>
        </w:tc>
        <w:tc>
          <w:tcPr>
            <w:tcW w:w="3736" w:type="dxa"/>
            <w:vAlign w:val="top"/>
          </w:tcPr>
          <w:p w14:paraId="4B056268">
            <w:pPr>
              <w:pStyle w:val="20"/>
              <w:spacing w:before="119" w:line="219" w:lineRule="auto"/>
              <w:ind w:left="111"/>
              <w:rPr>
                <w:rFonts w:hint="eastAsia" w:ascii="宋体" w:hAnsi="宋体" w:eastAsia="宋体" w:cs="宋体"/>
                <w:sz w:val="19"/>
                <w:szCs w:val="19"/>
              </w:rPr>
            </w:pPr>
            <w:r>
              <w:rPr>
                <w:rFonts w:hint="eastAsia" w:ascii="宋体" w:hAnsi="宋体" w:eastAsia="宋体" w:cs="宋体"/>
                <w:spacing w:val="-1"/>
                <w:sz w:val="19"/>
                <w:szCs w:val="19"/>
              </w:rPr>
              <w:t>手动紧急操作装置齐全，在指定位置</w:t>
            </w:r>
          </w:p>
        </w:tc>
        <w:tc>
          <w:tcPr>
            <w:tcW w:w="839" w:type="dxa"/>
            <w:vAlign w:val="top"/>
          </w:tcPr>
          <w:p w14:paraId="34C4CAAE">
            <w:pPr>
              <w:pStyle w:val="20"/>
              <w:spacing w:before="136"/>
              <w:ind w:left="325"/>
              <w:rPr>
                <w:rFonts w:hint="eastAsia" w:ascii="宋体" w:hAnsi="宋体" w:eastAsia="宋体" w:cs="宋体"/>
                <w:sz w:val="19"/>
                <w:szCs w:val="19"/>
              </w:rPr>
            </w:pPr>
            <w:r>
              <w:rPr>
                <w:rFonts w:hint="eastAsia" w:ascii="宋体" w:hAnsi="宋体" w:eastAsia="宋体" w:cs="宋体"/>
                <w:spacing w:val="-6"/>
                <w:sz w:val="19"/>
                <w:szCs w:val="19"/>
              </w:rPr>
              <w:t>18</w:t>
            </w:r>
          </w:p>
        </w:tc>
        <w:tc>
          <w:tcPr>
            <w:tcW w:w="3737" w:type="dxa"/>
            <w:vAlign w:val="top"/>
          </w:tcPr>
          <w:p w14:paraId="63F95E93">
            <w:pPr>
              <w:pStyle w:val="20"/>
              <w:spacing w:before="119" w:line="219" w:lineRule="auto"/>
              <w:ind w:left="107"/>
              <w:rPr>
                <w:rFonts w:hint="eastAsia" w:ascii="宋体" w:hAnsi="宋体" w:eastAsia="宋体" w:cs="宋体"/>
                <w:sz w:val="19"/>
                <w:szCs w:val="19"/>
              </w:rPr>
            </w:pPr>
            <w:r>
              <w:rPr>
                <w:rFonts w:hint="eastAsia" w:ascii="宋体" w:hAnsi="宋体" w:eastAsia="宋体" w:cs="宋体"/>
                <w:spacing w:val="-1"/>
                <w:sz w:val="19"/>
                <w:szCs w:val="19"/>
              </w:rPr>
              <w:t>轿内报警装置、对讲系统工作正常</w:t>
            </w:r>
          </w:p>
        </w:tc>
      </w:tr>
      <w:tr w14:paraId="30CC8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34" w:type="dxa"/>
            <w:vAlign w:val="top"/>
          </w:tcPr>
          <w:p w14:paraId="360FF825">
            <w:pPr>
              <w:pStyle w:val="20"/>
              <w:spacing w:before="236"/>
              <w:ind w:left="264"/>
              <w:rPr>
                <w:rFonts w:hint="eastAsia" w:ascii="宋体" w:hAnsi="宋体" w:eastAsia="宋体" w:cs="宋体"/>
                <w:sz w:val="19"/>
                <w:szCs w:val="19"/>
              </w:rPr>
            </w:pPr>
            <w:r>
              <w:rPr>
                <w:rFonts w:hint="eastAsia" w:ascii="宋体" w:hAnsi="宋体" w:eastAsia="宋体" w:cs="宋体"/>
                <w:sz w:val="19"/>
                <w:szCs w:val="19"/>
              </w:rPr>
              <w:t>3</w:t>
            </w:r>
          </w:p>
        </w:tc>
        <w:tc>
          <w:tcPr>
            <w:tcW w:w="3736" w:type="dxa"/>
            <w:vAlign w:val="top"/>
          </w:tcPr>
          <w:p w14:paraId="20E9325F">
            <w:pPr>
              <w:pStyle w:val="20"/>
              <w:spacing w:before="88" w:line="219" w:lineRule="auto"/>
              <w:ind w:left="111"/>
              <w:rPr>
                <w:rFonts w:hint="eastAsia" w:ascii="宋体" w:hAnsi="宋体" w:eastAsia="宋体" w:cs="宋体"/>
                <w:sz w:val="19"/>
                <w:szCs w:val="19"/>
              </w:rPr>
            </w:pPr>
            <w:r>
              <w:rPr>
                <w:rFonts w:hint="eastAsia" w:ascii="宋体" w:hAnsi="宋体" w:eastAsia="宋体" w:cs="宋体"/>
                <w:sz w:val="19"/>
                <w:szCs w:val="19"/>
              </w:rPr>
              <w:t>驱动主机运行时无异常振动和异常声响</w:t>
            </w:r>
          </w:p>
        </w:tc>
        <w:tc>
          <w:tcPr>
            <w:tcW w:w="839" w:type="dxa"/>
            <w:vAlign w:val="top"/>
          </w:tcPr>
          <w:p w14:paraId="31F8903C">
            <w:pPr>
              <w:pStyle w:val="20"/>
              <w:spacing w:before="236"/>
              <w:ind w:left="325"/>
              <w:rPr>
                <w:rFonts w:hint="eastAsia" w:ascii="宋体" w:hAnsi="宋体" w:eastAsia="宋体" w:cs="宋体"/>
                <w:sz w:val="19"/>
                <w:szCs w:val="19"/>
              </w:rPr>
            </w:pPr>
            <w:r>
              <w:rPr>
                <w:rFonts w:hint="eastAsia" w:ascii="宋体" w:hAnsi="宋体" w:eastAsia="宋体" w:cs="宋体"/>
                <w:spacing w:val="-6"/>
                <w:sz w:val="19"/>
                <w:szCs w:val="19"/>
              </w:rPr>
              <w:t>19</w:t>
            </w:r>
          </w:p>
        </w:tc>
        <w:tc>
          <w:tcPr>
            <w:tcW w:w="3737" w:type="dxa"/>
            <w:vAlign w:val="top"/>
          </w:tcPr>
          <w:p w14:paraId="1DA68DEA">
            <w:pPr>
              <w:pStyle w:val="20"/>
              <w:spacing w:before="58" w:line="250" w:lineRule="auto"/>
              <w:ind w:left="106" w:right="407" w:hanging="20"/>
              <w:rPr>
                <w:rFonts w:hint="eastAsia" w:ascii="宋体" w:hAnsi="宋体" w:eastAsia="宋体" w:cs="宋体"/>
                <w:sz w:val="19"/>
                <w:szCs w:val="19"/>
              </w:rPr>
            </w:pPr>
            <w:r>
              <w:rPr>
                <w:rFonts w:hint="eastAsia" w:ascii="宋体" w:hAnsi="宋体" w:eastAsia="宋体" w:cs="宋体"/>
                <w:spacing w:val="-1"/>
                <w:sz w:val="19"/>
                <w:szCs w:val="19"/>
              </w:rPr>
              <w:t>轿内显示、指令按钮、Ic卡系统齐全，有</w:t>
            </w:r>
            <w:r>
              <w:rPr>
                <w:rFonts w:hint="eastAsia" w:ascii="宋体" w:hAnsi="宋体" w:eastAsia="宋体" w:cs="宋体"/>
                <w:spacing w:val="10"/>
                <w:sz w:val="19"/>
                <w:szCs w:val="19"/>
              </w:rPr>
              <w:t xml:space="preserve"> </w:t>
            </w:r>
            <w:r>
              <w:rPr>
                <w:rFonts w:hint="eastAsia" w:ascii="宋体" w:hAnsi="宋体" w:eastAsia="宋体" w:cs="宋体"/>
                <w:sz w:val="19"/>
                <w:szCs w:val="19"/>
              </w:rPr>
              <w:t>效</w:t>
            </w:r>
          </w:p>
        </w:tc>
      </w:tr>
      <w:tr w14:paraId="41A67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634" w:type="dxa"/>
            <w:vAlign w:val="top"/>
          </w:tcPr>
          <w:p w14:paraId="33A04633">
            <w:pPr>
              <w:pStyle w:val="20"/>
              <w:spacing w:before="238" w:line="241" w:lineRule="auto"/>
              <w:ind w:left="264"/>
              <w:rPr>
                <w:rFonts w:hint="eastAsia" w:ascii="宋体" w:hAnsi="宋体" w:eastAsia="宋体" w:cs="宋体"/>
                <w:sz w:val="19"/>
                <w:szCs w:val="19"/>
              </w:rPr>
            </w:pPr>
            <w:r>
              <w:rPr>
                <w:rFonts w:hint="eastAsia" w:ascii="宋体" w:hAnsi="宋体" w:eastAsia="宋体" w:cs="宋体"/>
                <w:sz w:val="19"/>
                <w:szCs w:val="19"/>
              </w:rPr>
              <w:t>4</w:t>
            </w:r>
          </w:p>
        </w:tc>
        <w:tc>
          <w:tcPr>
            <w:tcW w:w="3736" w:type="dxa"/>
            <w:vAlign w:val="top"/>
          </w:tcPr>
          <w:p w14:paraId="7F00999E">
            <w:pPr>
              <w:pStyle w:val="20"/>
              <w:spacing w:before="219" w:line="219" w:lineRule="auto"/>
              <w:ind w:left="111"/>
              <w:rPr>
                <w:rFonts w:hint="eastAsia" w:ascii="宋体" w:hAnsi="宋体" w:eastAsia="宋体" w:cs="宋体"/>
                <w:sz w:val="19"/>
                <w:szCs w:val="19"/>
              </w:rPr>
            </w:pPr>
            <w:r>
              <w:rPr>
                <w:rFonts w:hint="eastAsia" w:ascii="宋体" w:hAnsi="宋体" w:eastAsia="宋体" w:cs="宋体"/>
                <w:spacing w:val="-1"/>
                <w:sz w:val="19"/>
                <w:szCs w:val="19"/>
              </w:rPr>
              <w:t>制动器各销轴部位动作灵活</w:t>
            </w:r>
          </w:p>
        </w:tc>
        <w:tc>
          <w:tcPr>
            <w:tcW w:w="839" w:type="dxa"/>
            <w:vAlign w:val="top"/>
          </w:tcPr>
          <w:p w14:paraId="143DC168">
            <w:pPr>
              <w:pStyle w:val="20"/>
              <w:spacing w:before="237"/>
              <w:ind w:left="325"/>
              <w:rPr>
                <w:rFonts w:hint="eastAsia" w:ascii="宋体" w:hAnsi="宋体" w:eastAsia="宋体" w:cs="宋体"/>
                <w:sz w:val="19"/>
                <w:szCs w:val="19"/>
              </w:rPr>
            </w:pPr>
            <w:r>
              <w:rPr>
                <w:rFonts w:hint="eastAsia" w:ascii="宋体" w:hAnsi="宋体" w:eastAsia="宋体" w:cs="宋体"/>
                <w:spacing w:val="-3"/>
                <w:sz w:val="19"/>
                <w:szCs w:val="19"/>
              </w:rPr>
              <w:t>20</w:t>
            </w:r>
          </w:p>
        </w:tc>
        <w:tc>
          <w:tcPr>
            <w:tcW w:w="3737" w:type="dxa"/>
            <w:vAlign w:val="top"/>
          </w:tcPr>
          <w:p w14:paraId="7AEFC647">
            <w:pPr>
              <w:pStyle w:val="20"/>
              <w:spacing w:before="99" w:line="249" w:lineRule="auto"/>
              <w:ind w:left="107" w:right="127" w:hanging="10"/>
              <w:rPr>
                <w:rFonts w:hint="eastAsia" w:ascii="宋体" w:hAnsi="宋体" w:eastAsia="宋体" w:cs="宋体"/>
                <w:sz w:val="19"/>
                <w:szCs w:val="19"/>
              </w:rPr>
            </w:pPr>
            <w:r>
              <w:rPr>
                <w:rFonts w:hint="eastAsia" w:ascii="宋体" w:hAnsi="宋体" w:eastAsia="宋体" w:cs="宋体"/>
                <w:spacing w:val="-1"/>
                <w:sz w:val="19"/>
                <w:szCs w:val="19"/>
              </w:rPr>
              <w:t>轿门防撞击保护装置，(安全触板、光幕、光</w:t>
            </w:r>
            <w:r>
              <w:rPr>
                <w:rFonts w:hint="eastAsia" w:ascii="宋体" w:hAnsi="宋体" w:eastAsia="宋体" w:cs="宋体"/>
                <w:spacing w:val="11"/>
                <w:sz w:val="19"/>
                <w:szCs w:val="19"/>
              </w:rPr>
              <w:t xml:space="preserve"> </w:t>
            </w:r>
            <w:r>
              <w:rPr>
                <w:rFonts w:hint="eastAsia" w:ascii="宋体" w:hAnsi="宋体" w:eastAsia="宋体" w:cs="宋体"/>
                <w:spacing w:val="1"/>
                <w:sz w:val="19"/>
                <w:szCs w:val="19"/>
              </w:rPr>
              <w:t>电等)功能有效</w:t>
            </w:r>
          </w:p>
        </w:tc>
      </w:tr>
      <w:tr w14:paraId="52306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634" w:type="dxa"/>
            <w:vAlign w:val="top"/>
          </w:tcPr>
          <w:p w14:paraId="05DA105A">
            <w:pPr>
              <w:spacing w:line="307" w:lineRule="auto"/>
              <w:rPr>
                <w:rFonts w:hint="eastAsia" w:ascii="宋体" w:hAnsi="宋体" w:eastAsia="宋体" w:cs="宋体"/>
                <w:sz w:val="19"/>
                <w:szCs w:val="19"/>
              </w:rPr>
            </w:pPr>
          </w:p>
          <w:p w14:paraId="2D364129">
            <w:pPr>
              <w:pStyle w:val="20"/>
              <w:spacing w:before="59"/>
              <w:ind w:left="264"/>
              <w:rPr>
                <w:rFonts w:hint="eastAsia" w:ascii="宋体" w:hAnsi="宋体" w:eastAsia="宋体" w:cs="宋体"/>
                <w:sz w:val="19"/>
                <w:szCs w:val="19"/>
              </w:rPr>
            </w:pPr>
            <w:r>
              <w:rPr>
                <w:rFonts w:hint="eastAsia" w:ascii="宋体" w:hAnsi="宋体" w:eastAsia="宋体" w:cs="宋体"/>
                <w:sz w:val="19"/>
                <w:szCs w:val="19"/>
              </w:rPr>
              <w:t>5</w:t>
            </w:r>
          </w:p>
        </w:tc>
        <w:tc>
          <w:tcPr>
            <w:tcW w:w="3736" w:type="dxa"/>
            <w:vAlign w:val="top"/>
          </w:tcPr>
          <w:p w14:paraId="4CA990D6">
            <w:pPr>
              <w:pStyle w:val="20"/>
              <w:spacing w:before="210" w:line="228" w:lineRule="auto"/>
              <w:ind w:left="111" w:right="12" w:firstLine="10"/>
              <w:rPr>
                <w:rFonts w:hint="eastAsia" w:ascii="宋体" w:hAnsi="宋体" w:eastAsia="宋体" w:cs="宋体"/>
                <w:sz w:val="19"/>
                <w:szCs w:val="19"/>
              </w:rPr>
            </w:pPr>
            <w:r>
              <w:rPr>
                <w:rFonts w:hint="eastAsia" w:ascii="宋体" w:hAnsi="宋体" w:eastAsia="宋体" w:cs="宋体"/>
                <w:spacing w:val="-1"/>
                <w:sz w:val="19"/>
                <w:szCs w:val="19"/>
              </w:rPr>
              <w:t>制动器间隙，打开时制动衬与帛动轮不应发生</w:t>
            </w:r>
            <w:r>
              <w:rPr>
                <w:rFonts w:hint="eastAsia" w:ascii="宋体" w:hAnsi="宋体" w:eastAsia="宋体" w:cs="宋体"/>
                <w:spacing w:val="11"/>
                <w:sz w:val="19"/>
                <w:szCs w:val="19"/>
              </w:rPr>
              <w:t xml:space="preserve"> </w:t>
            </w:r>
            <w:r>
              <w:rPr>
                <w:rFonts w:hint="eastAsia" w:ascii="宋体" w:hAnsi="宋体" w:eastAsia="宋体" w:cs="宋体"/>
                <w:spacing w:val="-1"/>
                <w:sz w:val="19"/>
                <w:szCs w:val="19"/>
              </w:rPr>
              <w:t>摩擦，间隙值符合制造单位要求</w:t>
            </w:r>
          </w:p>
        </w:tc>
        <w:tc>
          <w:tcPr>
            <w:tcW w:w="839" w:type="dxa"/>
            <w:vAlign w:val="top"/>
          </w:tcPr>
          <w:p w14:paraId="668B9441">
            <w:pPr>
              <w:spacing w:line="307" w:lineRule="auto"/>
              <w:rPr>
                <w:rFonts w:hint="eastAsia" w:ascii="宋体" w:hAnsi="宋体" w:eastAsia="宋体" w:cs="宋体"/>
                <w:sz w:val="19"/>
                <w:szCs w:val="19"/>
              </w:rPr>
            </w:pPr>
          </w:p>
          <w:p w14:paraId="4393F165">
            <w:pPr>
              <w:pStyle w:val="20"/>
              <w:spacing w:before="59" w:line="241" w:lineRule="auto"/>
              <w:ind w:left="325"/>
              <w:rPr>
                <w:rFonts w:hint="eastAsia" w:ascii="宋体" w:hAnsi="宋体" w:eastAsia="宋体" w:cs="宋体"/>
                <w:sz w:val="19"/>
                <w:szCs w:val="19"/>
              </w:rPr>
            </w:pPr>
            <w:r>
              <w:rPr>
                <w:rFonts w:hint="eastAsia" w:ascii="宋体" w:hAnsi="宋体" w:eastAsia="宋体" w:cs="宋体"/>
                <w:spacing w:val="-3"/>
                <w:sz w:val="19"/>
                <w:szCs w:val="19"/>
              </w:rPr>
              <w:t>21</w:t>
            </w:r>
          </w:p>
        </w:tc>
        <w:tc>
          <w:tcPr>
            <w:tcW w:w="3737" w:type="dxa"/>
            <w:vAlign w:val="top"/>
          </w:tcPr>
          <w:p w14:paraId="394D3954">
            <w:pPr>
              <w:pStyle w:val="20"/>
              <w:spacing w:before="209" w:line="260" w:lineRule="auto"/>
              <w:ind w:left="107" w:right="379"/>
              <w:rPr>
                <w:rFonts w:hint="eastAsia" w:ascii="宋体" w:hAnsi="宋体" w:eastAsia="宋体" w:cs="宋体"/>
                <w:sz w:val="19"/>
                <w:szCs w:val="19"/>
              </w:rPr>
            </w:pPr>
            <w:r>
              <w:rPr>
                <w:rFonts w:hint="eastAsia" w:ascii="宋体" w:hAnsi="宋体" w:eastAsia="宋体" w:cs="宋体"/>
                <w:sz w:val="19"/>
                <w:szCs w:val="19"/>
              </w:rPr>
              <w:t xml:space="preserve">轿门门锁电气触点清洁，触点接触良好， </w:t>
            </w:r>
            <w:r>
              <w:rPr>
                <w:rFonts w:hint="eastAsia" w:ascii="宋体" w:hAnsi="宋体" w:eastAsia="宋体" w:cs="宋体"/>
                <w:spacing w:val="-2"/>
                <w:sz w:val="19"/>
                <w:szCs w:val="19"/>
              </w:rPr>
              <w:t>接线可靠</w:t>
            </w:r>
          </w:p>
        </w:tc>
      </w:tr>
      <w:tr w14:paraId="1CED2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634" w:type="dxa"/>
            <w:vAlign w:val="top"/>
          </w:tcPr>
          <w:p w14:paraId="6EAF7648">
            <w:pPr>
              <w:spacing w:line="253" w:lineRule="auto"/>
              <w:rPr>
                <w:rFonts w:hint="eastAsia" w:ascii="宋体" w:hAnsi="宋体" w:eastAsia="宋体" w:cs="宋体"/>
                <w:sz w:val="19"/>
                <w:szCs w:val="19"/>
              </w:rPr>
            </w:pPr>
          </w:p>
          <w:p w14:paraId="28B4C4A7">
            <w:pPr>
              <w:spacing w:line="254" w:lineRule="auto"/>
              <w:rPr>
                <w:rFonts w:hint="eastAsia" w:ascii="宋体" w:hAnsi="宋体" w:eastAsia="宋体" w:cs="宋体"/>
                <w:sz w:val="19"/>
                <w:szCs w:val="19"/>
              </w:rPr>
            </w:pPr>
          </w:p>
          <w:p w14:paraId="53028065">
            <w:pPr>
              <w:pStyle w:val="20"/>
              <w:spacing w:before="58"/>
              <w:ind w:left="264"/>
              <w:rPr>
                <w:rFonts w:hint="eastAsia" w:ascii="宋体" w:hAnsi="宋体" w:eastAsia="宋体" w:cs="宋体"/>
                <w:sz w:val="19"/>
                <w:szCs w:val="19"/>
              </w:rPr>
            </w:pPr>
            <w:r>
              <w:rPr>
                <w:rFonts w:hint="eastAsia" w:ascii="宋体" w:hAnsi="宋体" w:eastAsia="宋体" w:cs="宋体"/>
                <w:sz w:val="19"/>
                <w:szCs w:val="19"/>
              </w:rPr>
              <w:t>6</w:t>
            </w:r>
          </w:p>
        </w:tc>
        <w:tc>
          <w:tcPr>
            <w:tcW w:w="3736" w:type="dxa"/>
            <w:vAlign w:val="top"/>
          </w:tcPr>
          <w:p w14:paraId="4AC0C3DA">
            <w:pPr>
              <w:pStyle w:val="20"/>
              <w:spacing w:before="71" w:line="220" w:lineRule="auto"/>
              <w:ind w:left="121"/>
              <w:rPr>
                <w:rFonts w:hint="eastAsia" w:ascii="宋体" w:hAnsi="宋体" w:eastAsia="宋体" w:cs="宋体"/>
                <w:sz w:val="19"/>
                <w:szCs w:val="19"/>
              </w:rPr>
            </w:pPr>
            <w:r>
              <w:rPr>
                <w:rFonts w:hint="eastAsia" w:ascii="宋体" w:hAnsi="宋体" w:eastAsia="宋体" w:cs="宋体"/>
                <w:sz w:val="19"/>
                <w:szCs w:val="19"/>
              </w:rPr>
              <w:t>制动器作为轿厢意外移动保护装置制 停</w:t>
            </w:r>
          </w:p>
          <w:p w14:paraId="7A302613">
            <w:pPr>
              <w:pStyle w:val="20"/>
              <w:spacing w:before="55" w:line="249" w:lineRule="auto"/>
              <w:ind w:left="111" w:right="12" w:firstLine="10"/>
              <w:rPr>
                <w:rFonts w:hint="eastAsia" w:ascii="宋体" w:hAnsi="宋体" w:eastAsia="宋体" w:cs="宋体"/>
                <w:sz w:val="19"/>
                <w:szCs w:val="19"/>
              </w:rPr>
            </w:pPr>
            <w:r>
              <w:rPr>
                <w:rFonts w:hint="eastAsia" w:ascii="宋体" w:hAnsi="宋体" w:eastAsia="宋体" w:cs="宋体"/>
                <w:spacing w:val="-1"/>
                <w:sz w:val="19"/>
                <w:szCs w:val="19"/>
              </w:rPr>
              <w:t>子系统时的自监测，制动力人工方式检测符合</w:t>
            </w:r>
            <w:r>
              <w:rPr>
                <w:rFonts w:hint="eastAsia" w:ascii="宋体" w:hAnsi="宋体" w:eastAsia="宋体" w:cs="宋体"/>
                <w:spacing w:val="11"/>
                <w:sz w:val="19"/>
                <w:szCs w:val="19"/>
              </w:rPr>
              <w:t xml:space="preserve"> </w:t>
            </w:r>
            <w:r>
              <w:rPr>
                <w:rFonts w:hint="eastAsia" w:ascii="宋体" w:hAnsi="宋体" w:eastAsia="宋体" w:cs="宋体"/>
                <w:sz w:val="19"/>
                <w:szCs w:val="19"/>
              </w:rPr>
              <w:t>使用维护说明书要求：制动力自监测系统有记</w:t>
            </w:r>
            <w:r>
              <w:rPr>
                <w:rFonts w:hint="eastAsia" w:ascii="宋体" w:hAnsi="宋体" w:eastAsia="宋体" w:cs="宋体"/>
                <w:spacing w:val="1"/>
                <w:sz w:val="19"/>
                <w:szCs w:val="19"/>
              </w:rPr>
              <w:t xml:space="preserve"> </w:t>
            </w:r>
            <w:r>
              <w:rPr>
                <w:rFonts w:hint="eastAsia" w:ascii="宋体" w:hAnsi="宋体" w:eastAsia="宋体" w:cs="宋体"/>
                <w:sz w:val="19"/>
                <w:szCs w:val="19"/>
              </w:rPr>
              <w:t>录</w:t>
            </w:r>
          </w:p>
        </w:tc>
        <w:tc>
          <w:tcPr>
            <w:tcW w:w="839" w:type="dxa"/>
            <w:vAlign w:val="top"/>
          </w:tcPr>
          <w:p w14:paraId="2B2DCF1B">
            <w:pPr>
              <w:spacing w:line="253" w:lineRule="auto"/>
              <w:rPr>
                <w:rFonts w:hint="eastAsia" w:ascii="宋体" w:hAnsi="宋体" w:eastAsia="宋体" w:cs="宋体"/>
                <w:sz w:val="19"/>
                <w:szCs w:val="19"/>
              </w:rPr>
            </w:pPr>
          </w:p>
          <w:p w14:paraId="51BEE244">
            <w:pPr>
              <w:spacing w:line="254" w:lineRule="auto"/>
              <w:rPr>
                <w:rFonts w:hint="eastAsia" w:ascii="宋体" w:hAnsi="宋体" w:eastAsia="宋体" w:cs="宋体"/>
                <w:sz w:val="19"/>
                <w:szCs w:val="19"/>
              </w:rPr>
            </w:pPr>
          </w:p>
          <w:p w14:paraId="6200188F">
            <w:pPr>
              <w:pStyle w:val="20"/>
              <w:spacing w:before="59" w:line="241" w:lineRule="auto"/>
              <w:ind w:left="325"/>
              <w:rPr>
                <w:rFonts w:hint="eastAsia" w:ascii="宋体" w:hAnsi="宋体" w:eastAsia="宋体" w:cs="宋体"/>
                <w:sz w:val="19"/>
                <w:szCs w:val="19"/>
              </w:rPr>
            </w:pPr>
            <w:r>
              <w:rPr>
                <w:rFonts w:hint="eastAsia" w:ascii="宋体" w:hAnsi="宋体" w:eastAsia="宋体" w:cs="宋体"/>
                <w:spacing w:val="-3"/>
                <w:sz w:val="19"/>
                <w:szCs w:val="19"/>
              </w:rPr>
              <w:t>22</w:t>
            </w:r>
          </w:p>
        </w:tc>
        <w:tc>
          <w:tcPr>
            <w:tcW w:w="3737" w:type="dxa"/>
            <w:vAlign w:val="top"/>
          </w:tcPr>
          <w:p w14:paraId="5BE5801A">
            <w:pPr>
              <w:spacing w:line="245" w:lineRule="auto"/>
              <w:rPr>
                <w:rFonts w:hint="eastAsia" w:ascii="宋体" w:hAnsi="宋体" w:eastAsia="宋体" w:cs="宋体"/>
                <w:sz w:val="19"/>
                <w:szCs w:val="19"/>
              </w:rPr>
            </w:pPr>
          </w:p>
          <w:p w14:paraId="2E19AF31">
            <w:pPr>
              <w:spacing w:line="245" w:lineRule="auto"/>
              <w:rPr>
                <w:rFonts w:hint="eastAsia" w:ascii="宋体" w:hAnsi="宋体" w:eastAsia="宋体" w:cs="宋体"/>
                <w:sz w:val="19"/>
                <w:szCs w:val="19"/>
              </w:rPr>
            </w:pPr>
          </w:p>
          <w:p w14:paraId="7659E716">
            <w:pPr>
              <w:pStyle w:val="20"/>
              <w:spacing w:before="58" w:line="220" w:lineRule="auto"/>
              <w:ind w:left="107"/>
              <w:rPr>
                <w:rFonts w:hint="eastAsia" w:ascii="宋体" w:hAnsi="宋体" w:eastAsia="宋体" w:cs="宋体"/>
                <w:sz w:val="19"/>
                <w:szCs w:val="19"/>
              </w:rPr>
            </w:pPr>
            <w:r>
              <w:rPr>
                <w:rFonts w:hint="eastAsia" w:ascii="宋体" w:hAnsi="宋体" w:eastAsia="宋体" w:cs="宋体"/>
                <w:spacing w:val="-1"/>
                <w:sz w:val="19"/>
                <w:szCs w:val="19"/>
              </w:rPr>
              <w:t>轿门运行开启和关闭工作正常</w:t>
            </w:r>
          </w:p>
        </w:tc>
      </w:tr>
      <w:tr w14:paraId="40BE7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634" w:type="dxa"/>
            <w:vAlign w:val="top"/>
          </w:tcPr>
          <w:p w14:paraId="69C5EB50">
            <w:pPr>
              <w:pStyle w:val="20"/>
              <w:spacing w:before="139"/>
              <w:ind w:left="264"/>
              <w:rPr>
                <w:rFonts w:hint="eastAsia" w:ascii="宋体" w:hAnsi="宋体" w:eastAsia="宋体" w:cs="宋体"/>
                <w:sz w:val="19"/>
                <w:szCs w:val="19"/>
              </w:rPr>
            </w:pPr>
            <w:r>
              <w:rPr>
                <w:rFonts w:hint="eastAsia" w:ascii="宋体" w:hAnsi="宋体" w:eastAsia="宋体" w:cs="宋体"/>
                <w:sz w:val="19"/>
                <w:szCs w:val="19"/>
              </w:rPr>
              <w:t>7</w:t>
            </w:r>
          </w:p>
        </w:tc>
        <w:tc>
          <w:tcPr>
            <w:tcW w:w="3736" w:type="dxa"/>
            <w:vAlign w:val="top"/>
          </w:tcPr>
          <w:p w14:paraId="745707B7">
            <w:pPr>
              <w:pStyle w:val="20"/>
              <w:spacing w:before="122" w:line="219" w:lineRule="auto"/>
              <w:ind w:left="111"/>
              <w:rPr>
                <w:rFonts w:hint="eastAsia" w:ascii="宋体" w:hAnsi="宋体" w:eastAsia="宋体" w:cs="宋体"/>
                <w:sz w:val="19"/>
                <w:szCs w:val="19"/>
              </w:rPr>
            </w:pPr>
            <w:r>
              <w:rPr>
                <w:rFonts w:hint="eastAsia" w:ascii="宋体" w:hAnsi="宋体" w:eastAsia="宋体" w:cs="宋体"/>
                <w:spacing w:val="1"/>
                <w:sz w:val="19"/>
                <w:szCs w:val="19"/>
              </w:rPr>
              <w:t>编码器清洁，安装牢固</w:t>
            </w:r>
          </w:p>
        </w:tc>
        <w:tc>
          <w:tcPr>
            <w:tcW w:w="839" w:type="dxa"/>
            <w:vAlign w:val="top"/>
          </w:tcPr>
          <w:p w14:paraId="39CBA651">
            <w:pPr>
              <w:pStyle w:val="20"/>
              <w:spacing w:before="139"/>
              <w:ind w:left="325"/>
              <w:rPr>
                <w:rFonts w:hint="eastAsia" w:ascii="宋体" w:hAnsi="宋体" w:eastAsia="宋体" w:cs="宋体"/>
                <w:sz w:val="19"/>
                <w:szCs w:val="19"/>
              </w:rPr>
            </w:pPr>
            <w:r>
              <w:rPr>
                <w:rFonts w:hint="eastAsia" w:ascii="宋体" w:hAnsi="宋体" w:eastAsia="宋体" w:cs="宋体"/>
                <w:spacing w:val="-3"/>
                <w:sz w:val="19"/>
                <w:szCs w:val="19"/>
              </w:rPr>
              <w:t>23</w:t>
            </w:r>
          </w:p>
        </w:tc>
        <w:tc>
          <w:tcPr>
            <w:tcW w:w="3737" w:type="dxa"/>
            <w:vAlign w:val="top"/>
          </w:tcPr>
          <w:p w14:paraId="72A8636D">
            <w:pPr>
              <w:pStyle w:val="20"/>
              <w:spacing w:before="122" w:line="219" w:lineRule="auto"/>
              <w:ind w:left="107"/>
              <w:rPr>
                <w:rFonts w:hint="eastAsia" w:ascii="宋体" w:hAnsi="宋体" w:eastAsia="宋体" w:cs="宋体"/>
                <w:sz w:val="19"/>
                <w:szCs w:val="19"/>
              </w:rPr>
            </w:pPr>
            <w:r>
              <w:rPr>
                <w:rFonts w:hint="eastAsia" w:ascii="宋体" w:hAnsi="宋体" w:eastAsia="宋体" w:cs="宋体"/>
                <w:spacing w:val="-1"/>
                <w:sz w:val="19"/>
                <w:szCs w:val="19"/>
              </w:rPr>
              <w:t>轿厢平层准确度符合标准值</w:t>
            </w:r>
          </w:p>
        </w:tc>
      </w:tr>
      <w:tr w14:paraId="3864F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34" w:type="dxa"/>
            <w:vAlign w:val="top"/>
          </w:tcPr>
          <w:p w14:paraId="72048E9B">
            <w:pPr>
              <w:pStyle w:val="20"/>
              <w:spacing w:before="279"/>
              <w:ind w:left="264"/>
              <w:rPr>
                <w:rFonts w:hint="eastAsia" w:ascii="宋体" w:hAnsi="宋体" w:eastAsia="宋体" w:cs="宋体"/>
                <w:sz w:val="19"/>
                <w:szCs w:val="19"/>
              </w:rPr>
            </w:pPr>
            <w:r>
              <w:rPr>
                <w:rFonts w:hint="eastAsia" w:ascii="宋体" w:hAnsi="宋体" w:eastAsia="宋体" w:cs="宋体"/>
                <w:sz w:val="19"/>
                <w:szCs w:val="19"/>
              </w:rPr>
              <w:t>8</w:t>
            </w:r>
          </w:p>
        </w:tc>
        <w:tc>
          <w:tcPr>
            <w:tcW w:w="3736" w:type="dxa"/>
            <w:vAlign w:val="top"/>
          </w:tcPr>
          <w:p w14:paraId="7B5D7DB2">
            <w:pPr>
              <w:pStyle w:val="20"/>
              <w:spacing w:before="111" w:line="250" w:lineRule="auto"/>
              <w:ind w:left="111" w:firstLine="10"/>
              <w:rPr>
                <w:rFonts w:hint="eastAsia" w:ascii="宋体" w:hAnsi="宋体" w:eastAsia="宋体" w:cs="宋体"/>
                <w:sz w:val="19"/>
                <w:szCs w:val="19"/>
              </w:rPr>
            </w:pPr>
            <w:r>
              <w:rPr>
                <w:rFonts w:hint="eastAsia" w:ascii="宋体" w:hAnsi="宋体" w:eastAsia="宋体" w:cs="宋体"/>
                <w:sz w:val="19"/>
                <w:szCs w:val="19"/>
              </w:rPr>
              <w:t>限速器各销轴部位润滑，转动灵活；电气开关</w:t>
            </w:r>
            <w:r>
              <w:rPr>
                <w:rFonts w:hint="eastAsia" w:ascii="宋体" w:hAnsi="宋体" w:eastAsia="宋体" w:cs="宋体"/>
                <w:spacing w:val="3"/>
                <w:sz w:val="19"/>
                <w:szCs w:val="19"/>
              </w:rPr>
              <w:t xml:space="preserve"> </w:t>
            </w:r>
            <w:r>
              <w:rPr>
                <w:rFonts w:hint="eastAsia" w:ascii="宋体" w:hAnsi="宋体" w:eastAsia="宋体" w:cs="宋体"/>
                <w:spacing w:val="4"/>
                <w:sz w:val="19"/>
                <w:szCs w:val="19"/>
              </w:rPr>
              <w:t>正常</w:t>
            </w:r>
          </w:p>
        </w:tc>
        <w:tc>
          <w:tcPr>
            <w:tcW w:w="839" w:type="dxa"/>
            <w:vAlign w:val="top"/>
          </w:tcPr>
          <w:p w14:paraId="76548115">
            <w:pPr>
              <w:pStyle w:val="20"/>
              <w:spacing w:before="280" w:line="241" w:lineRule="auto"/>
              <w:ind w:left="325"/>
              <w:rPr>
                <w:rFonts w:hint="eastAsia" w:ascii="宋体" w:hAnsi="宋体" w:eastAsia="宋体" w:cs="宋体"/>
                <w:sz w:val="19"/>
                <w:szCs w:val="19"/>
              </w:rPr>
            </w:pPr>
            <w:r>
              <w:rPr>
                <w:rFonts w:hint="eastAsia" w:ascii="宋体" w:hAnsi="宋体" w:eastAsia="宋体" w:cs="宋体"/>
                <w:spacing w:val="-3"/>
                <w:sz w:val="19"/>
                <w:szCs w:val="19"/>
              </w:rPr>
              <w:t>24</w:t>
            </w:r>
          </w:p>
        </w:tc>
        <w:tc>
          <w:tcPr>
            <w:tcW w:w="3737" w:type="dxa"/>
            <w:vAlign w:val="top"/>
          </w:tcPr>
          <w:p w14:paraId="78762379">
            <w:pPr>
              <w:pStyle w:val="20"/>
              <w:spacing w:before="262" w:line="219" w:lineRule="auto"/>
              <w:ind w:left="107"/>
              <w:rPr>
                <w:rFonts w:hint="eastAsia" w:ascii="宋体" w:hAnsi="宋体" w:eastAsia="宋体" w:cs="宋体"/>
                <w:sz w:val="19"/>
                <w:szCs w:val="19"/>
              </w:rPr>
            </w:pPr>
            <w:r>
              <w:rPr>
                <w:rFonts w:hint="eastAsia" w:ascii="宋体" w:hAnsi="宋体" w:eastAsia="宋体" w:cs="宋体"/>
                <w:spacing w:val="-1"/>
                <w:sz w:val="19"/>
                <w:szCs w:val="19"/>
              </w:rPr>
              <w:t>层站召唤、层楼显示齐全，有效</w:t>
            </w:r>
          </w:p>
        </w:tc>
      </w:tr>
      <w:tr w14:paraId="1DC79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634" w:type="dxa"/>
            <w:vAlign w:val="top"/>
          </w:tcPr>
          <w:p w14:paraId="5A615EE2">
            <w:pPr>
              <w:pStyle w:val="20"/>
              <w:spacing w:before="140"/>
              <w:ind w:left="264"/>
              <w:rPr>
                <w:rFonts w:hint="eastAsia" w:ascii="宋体" w:hAnsi="宋体" w:eastAsia="宋体" w:cs="宋体"/>
                <w:sz w:val="19"/>
                <w:szCs w:val="19"/>
              </w:rPr>
            </w:pPr>
            <w:r>
              <w:rPr>
                <w:rFonts w:hint="eastAsia" w:ascii="宋体" w:hAnsi="宋体" w:eastAsia="宋体" w:cs="宋体"/>
                <w:sz w:val="19"/>
                <w:szCs w:val="19"/>
              </w:rPr>
              <w:t>9</w:t>
            </w:r>
          </w:p>
        </w:tc>
        <w:tc>
          <w:tcPr>
            <w:tcW w:w="3736" w:type="dxa"/>
            <w:vAlign w:val="top"/>
          </w:tcPr>
          <w:p w14:paraId="21A523E8">
            <w:pPr>
              <w:pStyle w:val="20"/>
              <w:spacing w:before="123" w:line="219" w:lineRule="auto"/>
              <w:ind w:left="111"/>
              <w:rPr>
                <w:rFonts w:hint="eastAsia" w:ascii="宋体" w:hAnsi="宋体" w:eastAsia="宋体" w:cs="宋体"/>
                <w:sz w:val="19"/>
                <w:szCs w:val="19"/>
              </w:rPr>
            </w:pPr>
            <w:r>
              <w:rPr>
                <w:rFonts w:hint="eastAsia" w:ascii="宋体" w:hAnsi="宋体" w:eastAsia="宋体" w:cs="宋体"/>
                <w:spacing w:val="-1"/>
                <w:sz w:val="19"/>
                <w:szCs w:val="19"/>
              </w:rPr>
              <w:t>层门和轿门旁路装置工作正常</w:t>
            </w:r>
          </w:p>
        </w:tc>
        <w:tc>
          <w:tcPr>
            <w:tcW w:w="839" w:type="dxa"/>
            <w:vAlign w:val="top"/>
          </w:tcPr>
          <w:p w14:paraId="5BEFBCBA">
            <w:pPr>
              <w:pStyle w:val="20"/>
              <w:spacing w:before="140"/>
              <w:ind w:left="325"/>
              <w:rPr>
                <w:rFonts w:hint="eastAsia" w:ascii="宋体" w:hAnsi="宋体" w:eastAsia="宋体" w:cs="宋体"/>
                <w:sz w:val="19"/>
                <w:szCs w:val="19"/>
              </w:rPr>
            </w:pPr>
            <w:r>
              <w:rPr>
                <w:rFonts w:hint="eastAsia" w:ascii="宋体" w:hAnsi="宋体" w:eastAsia="宋体" w:cs="宋体"/>
                <w:spacing w:val="-3"/>
                <w:sz w:val="19"/>
                <w:szCs w:val="19"/>
              </w:rPr>
              <w:t>25</w:t>
            </w:r>
          </w:p>
        </w:tc>
        <w:tc>
          <w:tcPr>
            <w:tcW w:w="3737" w:type="dxa"/>
            <w:vAlign w:val="top"/>
          </w:tcPr>
          <w:p w14:paraId="02EE92A1">
            <w:pPr>
              <w:pStyle w:val="20"/>
              <w:spacing w:before="123" w:line="219" w:lineRule="auto"/>
              <w:ind w:left="107"/>
              <w:rPr>
                <w:rFonts w:hint="eastAsia" w:ascii="宋体" w:hAnsi="宋体" w:eastAsia="宋体" w:cs="宋体"/>
                <w:sz w:val="19"/>
                <w:szCs w:val="19"/>
              </w:rPr>
            </w:pPr>
            <w:r>
              <w:rPr>
                <w:rFonts w:hint="eastAsia" w:ascii="宋体" w:hAnsi="宋体" w:eastAsia="宋体" w:cs="宋体"/>
                <w:spacing w:val="-1"/>
                <w:sz w:val="19"/>
                <w:szCs w:val="19"/>
              </w:rPr>
              <w:t>层门地坎清洁</w:t>
            </w:r>
          </w:p>
        </w:tc>
      </w:tr>
      <w:tr w14:paraId="42061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634" w:type="dxa"/>
            <w:vAlign w:val="top"/>
          </w:tcPr>
          <w:p w14:paraId="6FB3B3E0">
            <w:pPr>
              <w:pStyle w:val="20"/>
              <w:spacing w:before="140"/>
              <w:ind w:left="214"/>
              <w:rPr>
                <w:rFonts w:hint="eastAsia" w:ascii="宋体" w:hAnsi="宋体" w:eastAsia="宋体" w:cs="宋体"/>
                <w:sz w:val="19"/>
                <w:szCs w:val="19"/>
              </w:rPr>
            </w:pPr>
            <w:r>
              <w:rPr>
                <w:rFonts w:hint="eastAsia" w:ascii="宋体" w:hAnsi="宋体" w:eastAsia="宋体" w:cs="宋体"/>
                <w:spacing w:val="-6"/>
                <w:sz w:val="19"/>
                <w:szCs w:val="19"/>
              </w:rPr>
              <w:t>10</w:t>
            </w:r>
          </w:p>
        </w:tc>
        <w:tc>
          <w:tcPr>
            <w:tcW w:w="3736" w:type="dxa"/>
            <w:vAlign w:val="top"/>
          </w:tcPr>
          <w:p w14:paraId="33F9B900">
            <w:pPr>
              <w:pStyle w:val="20"/>
              <w:spacing w:before="123" w:line="219" w:lineRule="auto"/>
              <w:ind w:left="111"/>
              <w:rPr>
                <w:rFonts w:hint="eastAsia" w:ascii="宋体" w:hAnsi="宋体" w:eastAsia="宋体" w:cs="宋体"/>
                <w:sz w:val="19"/>
                <w:szCs w:val="19"/>
              </w:rPr>
            </w:pPr>
            <w:r>
              <w:rPr>
                <w:rFonts w:hint="eastAsia" w:ascii="宋体" w:hAnsi="宋体" w:eastAsia="宋体" w:cs="宋体"/>
                <w:sz w:val="19"/>
                <w:szCs w:val="19"/>
              </w:rPr>
              <w:t>紧急电动运行工作正常</w:t>
            </w:r>
          </w:p>
        </w:tc>
        <w:tc>
          <w:tcPr>
            <w:tcW w:w="839" w:type="dxa"/>
            <w:vAlign w:val="top"/>
          </w:tcPr>
          <w:p w14:paraId="3B72138B">
            <w:pPr>
              <w:pStyle w:val="20"/>
              <w:spacing w:before="140"/>
              <w:ind w:left="325"/>
              <w:rPr>
                <w:rFonts w:hint="eastAsia" w:ascii="宋体" w:hAnsi="宋体" w:eastAsia="宋体" w:cs="宋体"/>
                <w:sz w:val="19"/>
                <w:szCs w:val="19"/>
              </w:rPr>
            </w:pPr>
            <w:r>
              <w:rPr>
                <w:rFonts w:hint="eastAsia" w:ascii="宋体" w:hAnsi="宋体" w:eastAsia="宋体" w:cs="宋体"/>
                <w:spacing w:val="-3"/>
                <w:sz w:val="19"/>
                <w:szCs w:val="19"/>
              </w:rPr>
              <w:t>26</w:t>
            </w:r>
          </w:p>
        </w:tc>
        <w:tc>
          <w:tcPr>
            <w:tcW w:w="3737" w:type="dxa"/>
            <w:vAlign w:val="top"/>
          </w:tcPr>
          <w:p w14:paraId="2CC3AE45">
            <w:pPr>
              <w:pStyle w:val="20"/>
              <w:spacing w:before="123" w:line="219" w:lineRule="auto"/>
              <w:ind w:left="107"/>
              <w:rPr>
                <w:rFonts w:hint="eastAsia" w:ascii="宋体" w:hAnsi="宋体" w:eastAsia="宋体" w:cs="宋体"/>
                <w:sz w:val="19"/>
                <w:szCs w:val="19"/>
              </w:rPr>
            </w:pPr>
            <w:r>
              <w:rPr>
                <w:rFonts w:hint="eastAsia" w:ascii="宋体" w:hAnsi="宋体" w:eastAsia="宋体" w:cs="宋体"/>
                <w:spacing w:val="-1"/>
                <w:sz w:val="19"/>
                <w:szCs w:val="19"/>
              </w:rPr>
              <w:t>层门自动关门装置正常</w:t>
            </w:r>
          </w:p>
        </w:tc>
      </w:tr>
      <w:tr w14:paraId="513C9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7" w:hRule="atLeast"/>
        </w:trPr>
        <w:tc>
          <w:tcPr>
            <w:tcW w:w="634" w:type="dxa"/>
            <w:vAlign w:val="top"/>
          </w:tcPr>
          <w:p w14:paraId="0F1D8964">
            <w:pPr>
              <w:spacing w:line="360" w:lineRule="auto"/>
              <w:rPr>
                <w:rFonts w:hint="eastAsia" w:ascii="宋体" w:hAnsi="宋体" w:eastAsia="宋体" w:cs="宋体"/>
                <w:sz w:val="19"/>
                <w:szCs w:val="19"/>
              </w:rPr>
            </w:pPr>
          </w:p>
          <w:p w14:paraId="7F5BD868">
            <w:pPr>
              <w:pStyle w:val="20"/>
              <w:spacing w:before="59" w:line="241" w:lineRule="auto"/>
              <w:ind w:left="214"/>
              <w:rPr>
                <w:rFonts w:hint="eastAsia" w:ascii="宋体" w:hAnsi="宋体" w:eastAsia="宋体" w:cs="宋体"/>
                <w:sz w:val="19"/>
                <w:szCs w:val="19"/>
              </w:rPr>
            </w:pPr>
            <w:r>
              <w:rPr>
                <w:rFonts w:hint="eastAsia" w:ascii="宋体" w:hAnsi="宋体" w:eastAsia="宋体" w:cs="宋体"/>
                <w:spacing w:val="-6"/>
                <w:sz w:val="19"/>
                <w:szCs w:val="19"/>
              </w:rPr>
              <w:t>11</w:t>
            </w:r>
          </w:p>
        </w:tc>
        <w:tc>
          <w:tcPr>
            <w:tcW w:w="3736" w:type="dxa"/>
            <w:vAlign w:val="top"/>
          </w:tcPr>
          <w:p w14:paraId="56BF13C7">
            <w:pPr>
              <w:spacing w:line="342" w:lineRule="auto"/>
              <w:rPr>
                <w:rFonts w:hint="eastAsia" w:ascii="宋体" w:hAnsi="宋体" w:eastAsia="宋体" w:cs="宋体"/>
                <w:sz w:val="19"/>
                <w:szCs w:val="19"/>
              </w:rPr>
            </w:pPr>
          </w:p>
          <w:p w14:paraId="6D70966F">
            <w:pPr>
              <w:pStyle w:val="20"/>
              <w:spacing w:before="59" w:line="219" w:lineRule="auto"/>
              <w:ind w:left="111"/>
              <w:rPr>
                <w:rFonts w:hint="eastAsia" w:ascii="宋体" w:hAnsi="宋体" w:eastAsia="宋体" w:cs="宋体"/>
                <w:sz w:val="19"/>
                <w:szCs w:val="19"/>
              </w:rPr>
            </w:pPr>
            <w:r>
              <w:rPr>
                <w:rFonts w:hint="eastAsia" w:ascii="宋体" w:hAnsi="宋体" w:eastAsia="宋体" w:cs="宋体"/>
                <w:spacing w:val="-1"/>
                <w:sz w:val="19"/>
                <w:szCs w:val="19"/>
              </w:rPr>
              <w:t>轿顶清洁.防护栏安全可靠</w:t>
            </w:r>
          </w:p>
        </w:tc>
        <w:tc>
          <w:tcPr>
            <w:tcW w:w="839" w:type="dxa"/>
            <w:vAlign w:val="top"/>
          </w:tcPr>
          <w:p w14:paraId="07730DFC">
            <w:pPr>
              <w:spacing w:line="360" w:lineRule="auto"/>
              <w:rPr>
                <w:rFonts w:hint="eastAsia" w:ascii="宋体" w:hAnsi="宋体" w:eastAsia="宋体" w:cs="宋体"/>
                <w:sz w:val="19"/>
                <w:szCs w:val="19"/>
              </w:rPr>
            </w:pPr>
          </w:p>
          <w:p w14:paraId="5A98430F">
            <w:pPr>
              <w:pStyle w:val="20"/>
              <w:spacing w:before="58"/>
              <w:ind w:left="325"/>
              <w:rPr>
                <w:rFonts w:hint="eastAsia" w:ascii="宋体" w:hAnsi="宋体" w:eastAsia="宋体" w:cs="宋体"/>
                <w:sz w:val="19"/>
                <w:szCs w:val="19"/>
              </w:rPr>
            </w:pPr>
            <w:r>
              <w:rPr>
                <w:rFonts w:hint="eastAsia" w:ascii="宋体" w:hAnsi="宋体" w:eastAsia="宋体" w:cs="宋体"/>
                <w:spacing w:val="-3"/>
                <w:sz w:val="19"/>
                <w:szCs w:val="19"/>
              </w:rPr>
              <w:t>27</w:t>
            </w:r>
          </w:p>
        </w:tc>
        <w:tc>
          <w:tcPr>
            <w:tcW w:w="3737" w:type="dxa"/>
            <w:vAlign w:val="top"/>
          </w:tcPr>
          <w:p w14:paraId="1A0BC341">
            <w:pPr>
              <w:pStyle w:val="20"/>
              <w:spacing w:before="93" w:line="248" w:lineRule="auto"/>
              <w:ind w:left="107" w:right="106" w:firstLine="10"/>
              <w:rPr>
                <w:rFonts w:hint="eastAsia" w:ascii="宋体" w:hAnsi="宋体" w:eastAsia="宋体" w:cs="宋体"/>
                <w:sz w:val="19"/>
                <w:szCs w:val="19"/>
              </w:rPr>
            </w:pPr>
            <w:r>
              <w:rPr>
                <w:rFonts w:hint="eastAsia" w:ascii="宋体" w:hAnsi="宋体" w:eastAsia="宋体" w:cs="宋体"/>
                <w:spacing w:val="-1"/>
                <w:sz w:val="19"/>
                <w:szCs w:val="19"/>
              </w:rPr>
              <w:t>层门门锁自动复位用层门钥匙打开手 动开锁</w:t>
            </w:r>
            <w:r>
              <w:rPr>
                <w:rFonts w:hint="eastAsia" w:ascii="宋体" w:hAnsi="宋体" w:eastAsia="宋体" w:cs="宋体"/>
                <w:spacing w:val="11"/>
                <w:sz w:val="19"/>
                <w:szCs w:val="19"/>
              </w:rPr>
              <w:t xml:space="preserve"> </w:t>
            </w:r>
            <w:r>
              <w:rPr>
                <w:rFonts w:hint="eastAsia" w:ascii="宋体" w:hAnsi="宋体" w:eastAsia="宋体" w:cs="宋体"/>
                <w:spacing w:val="-1"/>
                <w:sz w:val="19"/>
                <w:szCs w:val="19"/>
              </w:rPr>
              <w:t>装置释放后，层门门锁能自动复位</w:t>
            </w:r>
          </w:p>
        </w:tc>
      </w:tr>
      <w:tr w14:paraId="0ED1A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634" w:type="dxa"/>
            <w:vAlign w:val="top"/>
          </w:tcPr>
          <w:p w14:paraId="30EF7D96">
            <w:pPr>
              <w:pStyle w:val="20"/>
              <w:spacing w:before="292" w:line="241" w:lineRule="auto"/>
              <w:ind w:left="214"/>
              <w:rPr>
                <w:rFonts w:hint="eastAsia" w:ascii="宋体" w:hAnsi="宋体" w:eastAsia="宋体" w:cs="宋体"/>
                <w:sz w:val="19"/>
                <w:szCs w:val="19"/>
              </w:rPr>
            </w:pPr>
            <w:r>
              <w:rPr>
                <w:rFonts w:hint="eastAsia" w:ascii="宋体" w:hAnsi="宋体" w:eastAsia="宋体" w:cs="宋体"/>
                <w:spacing w:val="-6"/>
                <w:sz w:val="19"/>
                <w:szCs w:val="19"/>
              </w:rPr>
              <w:t>12</w:t>
            </w:r>
          </w:p>
        </w:tc>
        <w:tc>
          <w:tcPr>
            <w:tcW w:w="3736" w:type="dxa"/>
            <w:vAlign w:val="top"/>
          </w:tcPr>
          <w:p w14:paraId="2C4E97BD">
            <w:pPr>
              <w:pStyle w:val="20"/>
              <w:spacing w:before="274" w:line="219" w:lineRule="auto"/>
              <w:ind w:left="111"/>
              <w:rPr>
                <w:rFonts w:hint="eastAsia" w:ascii="宋体" w:hAnsi="宋体" w:eastAsia="宋体" w:cs="宋体"/>
                <w:sz w:val="19"/>
                <w:szCs w:val="19"/>
              </w:rPr>
            </w:pPr>
            <w:r>
              <w:rPr>
                <w:rFonts w:hint="eastAsia" w:ascii="宋体" w:hAnsi="宋体" w:eastAsia="宋体" w:cs="宋体"/>
                <w:spacing w:val="-1"/>
                <w:sz w:val="19"/>
                <w:szCs w:val="19"/>
              </w:rPr>
              <w:t>轿顶检修开关、停止装置工作正常</w:t>
            </w:r>
          </w:p>
        </w:tc>
        <w:tc>
          <w:tcPr>
            <w:tcW w:w="839" w:type="dxa"/>
            <w:vAlign w:val="top"/>
          </w:tcPr>
          <w:p w14:paraId="3B01FEE5">
            <w:pPr>
              <w:pStyle w:val="20"/>
              <w:spacing w:before="291"/>
              <w:ind w:left="325"/>
              <w:rPr>
                <w:rFonts w:hint="eastAsia" w:ascii="宋体" w:hAnsi="宋体" w:eastAsia="宋体" w:cs="宋体"/>
                <w:sz w:val="19"/>
                <w:szCs w:val="19"/>
              </w:rPr>
            </w:pPr>
            <w:r>
              <w:rPr>
                <w:rFonts w:hint="eastAsia" w:ascii="宋体" w:hAnsi="宋体" w:eastAsia="宋体" w:cs="宋体"/>
                <w:spacing w:val="-3"/>
                <w:sz w:val="19"/>
                <w:szCs w:val="19"/>
              </w:rPr>
              <w:t>28</w:t>
            </w:r>
          </w:p>
        </w:tc>
        <w:tc>
          <w:tcPr>
            <w:tcW w:w="3737" w:type="dxa"/>
            <w:vAlign w:val="top"/>
          </w:tcPr>
          <w:p w14:paraId="50DEC48D">
            <w:pPr>
              <w:pStyle w:val="20"/>
              <w:spacing w:before="123" w:line="270" w:lineRule="auto"/>
              <w:ind w:left="107" w:right="379"/>
              <w:rPr>
                <w:rFonts w:hint="eastAsia" w:ascii="宋体" w:hAnsi="宋体" w:eastAsia="宋体" w:cs="宋体"/>
                <w:sz w:val="19"/>
                <w:szCs w:val="19"/>
              </w:rPr>
            </w:pPr>
            <w:r>
              <w:rPr>
                <w:rFonts w:hint="eastAsia" w:ascii="宋体" w:hAnsi="宋体" w:eastAsia="宋体" w:cs="宋体"/>
                <w:sz w:val="19"/>
                <w:szCs w:val="19"/>
              </w:rPr>
              <w:t xml:space="preserve">层门门锁电气触点清洁，触点接触良好， </w:t>
            </w:r>
            <w:r>
              <w:rPr>
                <w:rFonts w:hint="eastAsia" w:ascii="宋体" w:hAnsi="宋体" w:eastAsia="宋体" w:cs="宋体"/>
                <w:spacing w:val="-2"/>
                <w:sz w:val="19"/>
                <w:szCs w:val="19"/>
              </w:rPr>
              <w:t>接线可靠</w:t>
            </w:r>
          </w:p>
        </w:tc>
      </w:tr>
      <w:tr w14:paraId="4A4B8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634" w:type="dxa"/>
            <w:vAlign w:val="top"/>
          </w:tcPr>
          <w:p w14:paraId="4CCBF541">
            <w:pPr>
              <w:pStyle w:val="20"/>
              <w:spacing w:before="282"/>
              <w:ind w:left="214"/>
              <w:rPr>
                <w:rFonts w:hint="eastAsia" w:ascii="宋体" w:hAnsi="宋体" w:eastAsia="宋体" w:cs="宋体"/>
                <w:sz w:val="19"/>
                <w:szCs w:val="19"/>
              </w:rPr>
            </w:pPr>
            <w:r>
              <w:rPr>
                <w:rFonts w:hint="eastAsia" w:ascii="宋体" w:hAnsi="宋体" w:eastAsia="宋体" w:cs="宋体"/>
                <w:spacing w:val="-6"/>
                <w:sz w:val="19"/>
                <w:szCs w:val="19"/>
              </w:rPr>
              <w:t>13</w:t>
            </w:r>
          </w:p>
        </w:tc>
        <w:tc>
          <w:tcPr>
            <w:tcW w:w="3736" w:type="dxa"/>
            <w:vAlign w:val="top"/>
          </w:tcPr>
          <w:p w14:paraId="4221FD86">
            <w:pPr>
              <w:pStyle w:val="20"/>
              <w:spacing w:before="105" w:line="261" w:lineRule="auto"/>
              <w:ind w:left="111" w:right="16" w:firstLine="10"/>
              <w:rPr>
                <w:rFonts w:hint="eastAsia" w:ascii="宋体" w:hAnsi="宋体" w:eastAsia="宋体" w:cs="宋体"/>
                <w:sz w:val="19"/>
                <w:szCs w:val="19"/>
              </w:rPr>
            </w:pPr>
            <w:r>
              <w:rPr>
                <w:rFonts w:hint="eastAsia" w:ascii="宋体" w:hAnsi="宋体" w:eastAsia="宋体" w:cs="宋体"/>
                <w:spacing w:val="-1"/>
                <w:sz w:val="19"/>
                <w:szCs w:val="19"/>
              </w:rPr>
              <w:t>导靴上油杯吸油毛毡齐全，油量适宜，油杯无</w:t>
            </w:r>
            <w:r>
              <w:rPr>
                <w:rFonts w:hint="eastAsia" w:ascii="宋体" w:hAnsi="宋体" w:eastAsia="宋体" w:cs="宋体"/>
                <w:spacing w:val="7"/>
                <w:sz w:val="19"/>
                <w:szCs w:val="19"/>
              </w:rPr>
              <w:t xml:space="preserve"> </w:t>
            </w:r>
            <w:r>
              <w:rPr>
                <w:rFonts w:hint="eastAsia" w:ascii="宋体" w:hAnsi="宋体" w:eastAsia="宋体" w:cs="宋体"/>
                <w:spacing w:val="5"/>
                <w:sz w:val="19"/>
                <w:szCs w:val="19"/>
              </w:rPr>
              <w:t>泄漏</w:t>
            </w:r>
          </w:p>
        </w:tc>
        <w:tc>
          <w:tcPr>
            <w:tcW w:w="839" w:type="dxa"/>
            <w:vAlign w:val="top"/>
          </w:tcPr>
          <w:p w14:paraId="1252BC23">
            <w:pPr>
              <w:pStyle w:val="20"/>
              <w:spacing w:before="282"/>
              <w:ind w:left="325"/>
              <w:rPr>
                <w:rFonts w:hint="eastAsia" w:ascii="宋体" w:hAnsi="宋体" w:eastAsia="宋体" w:cs="宋体"/>
                <w:sz w:val="19"/>
                <w:szCs w:val="19"/>
              </w:rPr>
            </w:pPr>
            <w:r>
              <w:rPr>
                <w:rFonts w:hint="eastAsia" w:ascii="宋体" w:hAnsi="宋体" w:eastAsia="宋体" w:cs="宋体"/>
                <w:spacing w:val="-3"/>
                <w:sz w:val="19"/>
                <w:szCs w:val="19"/>
              </w:rPr>
              <w:t>29</w:t>
            </w:r>
          </w:p>
        </w:tc>
        <w:tc>
          <w:tcPr>
            <w:tcW w:w="3737" w:type="dxa"/>
            <w:vAlign w:val="top"/>
          </w:tcPr>
          <w:p w14:paraId="4B61D837">
            <w:pPr>
              <w:pStyle w:val="20"/>
              <w:spacing w:before="265" w:line="219" w:lineRule="auto"/>
              <w:ind w:left="107"/>
              <w:rPr>
                <w:rFonts w:hint="eastAsia" w:ascii="宋体" w:hAnsi="宋体" w:eastAsia="宋体" w:cs="宋体"/>
                <w:sz w:val="19"/>
                <w:szCs w:val="19"/>
              </w:rPr>
            </w:pPr>
            <w:r>
              <w:rPr>
                <w:rFonts w:hint="eastAsia" w:ascii="宋体" w:hAnsi="宋体" w:eastAsia="宋体" w:cs="宋体"/>
                <w:spacing w:val="-1"/>
                <w:sz w:val="19"/>
                <w:szCs w:val="19"/>
              </w:rPr>
              <w:t>层门锁紧元件啮合长度不小于7mm</w:t>
            </w:r>
          </w:p>
        </w:tc>
      </w:tr>
      <w:tr w14:paraId="43E42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634" w:type="dxa"/>
            <w:vAlign w:val="top"/>
          </w:tcPr>
          <w:p w14:paraId="2C5B9150">
            <w:pPr>
              <w:pStyle w:val="20"/>
              <w:spacing w:before="284" w:line="241" w:lineRule="auto"/>
              <w:ind w:left="214"/>
              <w:rPr>
                <w:rFonts w:hint="eastAsia" w:ascii="宋体" w:hAnsi="宋体" w:eastAsia="宋体" w:cs="宋体"/>
                <w:sz w:val="19"/>
                <w:szCs w:val="19"/>
              </w:rPr>
            </w:pPr>
            <w:r>
              <w:rPr>
                <w:rFonts w:hint="eastAsia" w:ascii="宋体" w:hAnsi="宋体" w:eastAsia="宋体" w:cs="宋体"/>
                <w:spacing w:val="-6"/>
                <w:sz w:val="19"/>
                <w:szCs w:val="19"/>
              </w:rPr>
              <w:t>14</w:t>
            </w:r>
          </w:p>
        </w:tc>
        <w:tc>
          <w:tcPr>
            <w:tcW w:w="3736" w:type="dxa"/>
            <w:vAlign w:val="top"/>
          </w:tcPr>
          <w:p w14:paraId="0E78FC0A">
            <w:pPr>
              <w:pStyle w:val="20"/>
              <w:spacing w:before="115" w:line="219" w:lineRule="auto"/>
              <w:ind w:left="111"/>
              <w:rPr>
                <w:rFonts w:hint="eastAsia" w:ascii="宋体" w:hAnsi="宋体" w:eastAsia="宋体" w:cs="宋体"/>
                <w:sz w:val="19"/>
                <w:szCs w:val="19"/>
              </w:rPr>
            </w:pPr>
            <w:r>
              <w:rPr>
                <w:rFonts w:hint="eastAsia" w:ascii="宋体" w:hAnsi="宋体" w:eastAsia="宋体" w:cs="宋体"/>
                <w:sz w:val="19"/>
                <w:szCs w:val="19"/>
              </w:rPr>
              <w:t>对重/平衡重块及其压板无松动，压板紧固</w:t>
            </w:r>
          </w:p>
        </w:tc>
        <w:tc>
          <w:tcPr>
            <w:tcW w:w="839" w:type="dxa"/>
            <w:vAlign w:val="top"/>
          </w:tcPr>
          <w:p w14:paraId="63FFABDA">
            <w:pPr>
              <w:pStyle w:val="20"/>
              <w:spacing w:before="283"/>
              <w:ind w:left="325"/>
              <w:rPr>
                <w:rFonts w:hint="eastAsia" w:ascii="宋体" w:hAnsi="宋体" w:eastAsia="宋体" w:cs="宋体"/>
                <w:sz w:val="19"/>
                <w:szCs w:val="19"/>
              </w:rPr>
            </w:pPr>
            <w:r>
              <w:rPr>
                <w:rFonts w:hint="eastAsia" w:ascii="宋体" w:hAnsi="宋体" w:eastAsia="宋体" w:cs="宋体"/>
                <w:spacing w:val="-3"/>
                <w:sz w:val="19"/>
                <w:szCs w:val="19"/>
              </w:rPr>
              <w:t>30</w:t>
            </w:r>
          </w:p>
        </w:tc>
        <w:tc>
          <w:tcPr>
            <w:tcW w:w="3737" w:type="dxa"/>
            <w:vAlign w:val="top"/>
          </w:tcPr>
          <w:p w14:paraId="1F8D08E6">
            <w:pPr>
              <w:pStyle w:val="20"/>
              <w:spacing w:before="146" w:line="219" w:lineRule="auto"/>
              <w:ind w:left="107"/>
              <w:rPr>
                <w:rFonts w:hint="eastAsia" w:ascii="宋体" w:hAnsi="宋体" w:eastAsia="宋体" w:cs="宋体"/>
                <w:sz w:val="19"/>
                <w:szCs w:val="19"/>
              </w:rPr>
            </w:pPr>
            <w:r>
              <w:rPr>
                <w:rFonts w:hint="eastAsia" w:ascii="宋体" w:hAnsi="宋体" w:eastAsia="宋体" w:cs="宋体"/>
                <w:spacing w:val="-1"/>
                <w:sz w:val="19"/>
                <w:szCs w:val="19"/>
              </w:rPr>
              <w:t>底坑环境清洁，天渗水、积水，  照明正常</w:t>
            </w:r>
          </w:p>
        </w:tc>
      </w:tr>
      <w:tr w14:paraId="0C235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634" w:type="dxa"/>
            <w:vAlign w:val="top"/>
          </w:tcPr>
          <w:p w14:paraId="0E710018">
            <w:pPr>
              <w:pStyle w:val="20"/>
              <w:spacing w:before="144"/>
              <w:ind w:left="214"/>
              <w:rPr>
                <w:rFonts w:hint="eastAsia" w:ascii="宋体" w:hAnsi="宋体" w:eastAsia="宋体" w:cs="宋体"/>
                <w:sz w:val="19"/>
                <w:szCs w:val="19"/>
              </w:rPr>
            </w:pPr>
            <w:r>
              <w:rPr>
                <w:rFonts w:hint="eastAsia" w:ascii="宋体" w:hAnsi="宋体" w:eastAsia="宋体" w:cs="宋体"/>
                <w:spacing w:val="-6"/>
                <w:sz w:val="19"/>
                <w:szCs w:val="19"/>
              </w:rPr>
              <w:t>15</w:t>
            </w:r>
          </w:p>
        </w:tc>
        <w:tc>
          <w:tcPr>
            <w:tcW w:w="3736" w:type="dxa"/>
            <w:vAlign w:val="top"/>
          </w:tcPr>
          <w:p w14:paraId="3BEADEF0">
            <w:pPr>
              <w:pStyle w:val="20"/>
              <w:spacing w:before="127" w:line="219" w:lineRule="auto"/>
              <w:ind w:left="111"/>
              <w:rPr>
                <w:rFonts w:hint="eastAsia" w:ascii="宋体" w:hAnsi="宋体" w:eastAsia="宋体" w:cs="宋体"/>
                <w:sz w:val="19"/>
                <w:szCs w:val="19"/>
              </w:rPr>
            </w:pPr>
            <w:r>
              <w:rPr>
                <w:rFonts w:hint="eastAsia" w:ascii="宋体" w:hAnsi="宋体" w:eastAsia="宋体" w:cs="宋体"/>
                <w:spacing w:val="-1"/>
                <w:sz w:val="19"/>
                <w:szCs w:val="19"/>
              </w:rPr>
              <w:t>井道照明齐全，正常</w:t>
            </w:r>
          </w:p>
        </w:tc>
        <w:tc>
          <w:tcPr>
            <w:tcW w:w="839" w:type="dxa"/>
            <w:vAlign w:val="top"/>
          </w:tcPr>
          <w:p w14:paraId="37316254">
            <w:pPr>
              <w:pStyle w:val="20"/>
              <w:spacing w:before="144"/>
              <w:ind w:left="325"/>
              <w:rPr>
                <w:rFonts w:hint="eastAsia" w:ascii="宋体" w:hAnsi="宋体" w:eastAsia="宋体" w:cs="宋体"/>
                <w:sz w:val="19"/>
                <w:szCs w:val="19"/>
              </w:rPr>
            </w:pPr>
            <w:r>
              <w:rPr>
                <w:rFonts w:hint="eastAsia" w:ascii="宋体" w:hAnsi="宋体" w:eastAsia="宋体" w:cs="宋体"/>
                <w:spacing w:val="-3"/>
                <w:sz w:val="19"/>
                <w:szCs w:val="19"/>
              </w:rPr>
              <w:t>31</w:t>
            </w:r>
          </w:p>
        </w:tc>
        <w:tc>
          <w:tcPr>
            <w:tcW w:w="3737" w:type="dxa"/>
            <w:vAlign w:val="top"/>
          </w:tcPr>
          <w:p w14:paraId="24BAB977">
            <w:pPr>
              <w:pStyle w:val="20"/>
              <w:spacing w:before="127" w:line="220" w:lineRule="auto"/>
              <w:ind w:left="107"/>
              <w:rPr>
                <w:rFonts w:hint="eastAsia" w:ascii="宋体" w:hAnsi="宋体" w:eastAsia="宋体" w:cs="宋体"/>
                <w:sz w:val="19"/>
                <w:szCs w:val="19"/>
              </w:rPr>
            </w:pPr>
            <w:r>
              <w:rPr>
                <w:rFonts w:hint="eastAsia" w:ascii="宋体" w:hAnsi="宋体" w:eastAsia="宋体" w:cs="宋体"/>
                <w:spacing w:val="-1"/>
                <w:sz w:val="19"/>
                <w:szCs w:val="19"/>
              </w:rPr>
              <w:t>底坑停止装置工作正常</w:t>
            </w:r>
          </w:p>
        </w:tc>
      </w:tr>
      <w:tr w14:paraId="34580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634" w:type="dxa"/>
            <w:vAlign w:val="top"/>
          </w:tcPr>
          <w:p w14:paraId="6C30D906">
            <w:pPr>
              <w:pStyle w:val="20"/>
              <w:spacing w:before="284"/>
              <w:ind w:left="214"/>
              <w:rPr>
                <w:rFonts w:hint="eastAsia" w:ascii="宋体" w:hAnsi="宋体" w:eastAsia="宋体" w:cs="宋体"/>
                <w:sz w:val="19"/>
                <w:szCs w:val="19"/>
              </w:rPr>
            </w:pPr>
            <w:r>
              <w:rPr>
                <w:rFonts w:hint="eastAsia" w:ascii="宋体" w:hAnsi="宋体" w:eastAsia="宋体" w:cs="宋体"/>
                <w:spacing w:val="-6"/>
                <w:sz w:val="19"/>
                <w:szCs w:val="19"/>
              </w:rPr>
              <w:t>16</w:t>
            </w:r>
          </w:p>
        </w:tc>
        <w:tc>
          <w:tcPr>
            <w:tcW w:w="3736" w:type="dxa"/>
            <w:vAlign w:val="top"/>
          </w:tcPr>
          <w:p w14:paraId="5F787B96">
            <w:pPr>
              <w:pStyle w:val="20"/>
              <w:spacing w:before="267" w:line="219" w:lineRule="auto"/>
              <w:ind w:left="111"/>
              <w:rPr>
                <w:rFonts w:hint="eastAsia" w:ascii="宋体" w:hAnsi="宋体" w:eastAsia="宋体" w:cs="宋体"/>
                <w:sz w:val="19"/>
                <w:szCs w:val="19"/>
              </w:rPr>
            </w:pPr>
            <w:r>
              <w:rPr>
                <w:rFonts w:hint="eastAsia" w:ascii="宋体" w:hAnsi="宋体" w:eastAsia="宋体" w:cs="宋体"/>
                <w:spacing w:val="-1"/>
                <w:sz w:val="19"/>
                <w:szCs w:val="19"/>
              </w:rPr>
              <w:t>轿厢照明、风扇、应急照明工作正常</w:t>
            </w:r>
          </w:p>
        </w:tc>
        <w:tc>
          <w:tcPr>
            <w:tcW w:w="839" w:type="dxa"/>
            <w:vAlign w:val="top"/>
          </w:tcPr>
          <w:p w14:paraId="038983CC">
            <w:pPr>
              <w:pStyle w:val="20"/>
              <w:spacing w:before="284"/>
              <w:ind w:left="106"/>
              <w:rPr>
                <w:rFonts w:hint="eastAsia" w:ascii="宋体" w:hAnsi="宋体" w:eastAsia="宋体" w:cs="宋体"/>
                <w:sz w:val="19"/>
                <w:szCs w:val="19"/>
              </w:rPr>
            </w:pPr>
            <w:r>
              <w:rPr>
                <w:rFonts w:hint="eastAsia" w:ascii="宋体" w:hAnsi="宋体" w:eastAsia="宋体" w:cs="宋体"/>
                <w:spacing w:val="-3"/>
                <w:sz w:val="19"/>
                <w:szCs w:val="19"/>
              </w:rPr>
              <w:t>32</w:t>
            </w:r>
          </w:p>
        </w:tc>
        <w:tc>
          <w:tcPr>
            <w:tcW w:w="3737" w:type="dxa"/>
            <w:vAlign w:val="top"/>
          </w:tcPr>
          <w:p w14:paraId="54665524">
            <w:pPr>
              <w:pStyle w:val="20"/>
              <w:spacing w:before="107" w:line="289" w:lineRule="auto"/>
              <w:ind w:left="105" w:hanging="19"/>
              <w:rPr>
                <w:rFonts w:hint="eastAsia" w:ascii="宋体" w:hAnsi="宋体" w:eastAsia="宋体" w:cs="宋体"/>
                <w:sz w:val="19"/>
                <w:szCs w:val="19"/>
              </w:rPr>
            </w:pPr>
            <w:r>
              <w:rPr>
                <w:rFonts w:hint="eastAsia" w:ascii="宋体" w:hAnsi="宋体" w:eastAsia="宋体" w:cs="宋体"/>
                <w:spacing w:val="-7"/>
                <w:sz w:val="19"/>
                <w:szCs w:val="19"/>
              </w:rPr>
              <w:t>轿厢内安全标识、年检标志、报警说明、厅门锁</w:t>
            </w:r>
            <w:r>
              <w:rPr>
                <w:rFonts w:hint="eastAsia" w:ascii="宋体" w:hAnsi="宋体" w:eastAsia="宋体" w:cs="宋体"/>
                <w:spacing w:val="6"/>
                <w:sz w:val="19"/>
                <w:szCs w:val="19"/>
              </w:rPr>
              <w:t xml:space="preserve"> </w:t>
            </w:r>
            <w:r>
              <w:rPr>
                <w:rFonts w:hint="eastAsia" w:ascii="宋体" w:hAnsi="宋体" w:eastAsia="宋体" w:cs="宋体"/>
                <w:spacing w:val="-2"/>
                <w:sz w:val="19"/>
                <w:szCs w:val="19"/>
              </w:rPr>
              <w:t>孔安全标识齐全有效</w:t>
            </w:r>
          </w:p>
        </w:tc>
      </w:tr>
    </w:tbl>
    <w:p w14:paraId="3485150F">
      <w:pPr>
        <w:spacing w:line="600" w:lineRule="exact"/>
        <w:rPr>
          <w:rFonts w:ascii="仿宋" w:hAnsi="仿宋" w:eastAsia="仿宋" w:cs="仿宋"/>
          <w:b/>
          <w:bCs/>
          <w:color w:val="333333"/>
          <w:kern w:val="0"/>
          <w:sz w:val="28"/>
          <w:szCs w:val="28"/>
        </w:rPr>
      </w:pPr>
    </w:p>
    <w:p w14:paraId="29E6BB17">
      <w:pPr>
        <w:spacing w:line="600" w:lineRule="exact"/>
        <w:ind w:firstLine="640" w:firstLineChars="200"/>
        <w:rPr>
          <w:rFonts w:hint="eastAsia" w:ascii="仿宋_GB2312" w:hAnsi="仿宋_GB2312" w:eastAsia="仿宋_GB2312" w:cs="仿宋_GB2312"/>
          <w:b w:val="0"/>
          <w:bCs w:val="0"/>
          <w:color w:val="333333"/>
          <w:kern w:val="0"/>
          <w:sz w:val="32"/>
          <w:szCs w:val="32"/>
          <w:lang w:eastAsia="zh-CN"/>
        </w:rPr>
      </w:pPr>
      <w:r>
        <w:rPr>
          <w:rFonts w:hint="eastAsia" w:ascii="仿宋_GB2312" w:hAnsi="仿宋_GB2312" w:eastAsia="仿宋_GB2312" w:cs="仿宋_GB2312"/>
          <w:b w:val="0"/>
          <w:bCs w:val="0"/>
          <w:color w:val="333333"/>
          <w:kern w:val="0"/>
          <w:sz w:val="32"/>
          <w:szCs w:val="32"/>
          <w:lang w:eastAsia="zh-CN"/>
        </w:rPr>
        <w:t>（</w:t>
      </w:r>
      <w:r>
        <w:rPr>
          <w:rFonts w:hint="eastAsia" w:ascii="仿宋_GB2312" w:hAnsi="仿宋_GB2312" w:eastAsia="仿宋_GB2312" w:cs="仿宋_GB2312"/>
          <w:b w:val="0"/>
          <w:bCs w:val="0"/>
          <w:color w:val="333333"/>
          <w:kern w:val="0"/>
          <w:sz w:val="32"/>
          <w:szCs w:val="32"/>
          <w:lang w:val="en-US" w:eastAsia="zh-CN"/>
        </w:rPr>
        <w:t>二</w:t>
      </w:r>
      <w:r>
        <w:rPr>
          <w:rFonts w:hint="eastAsia" w:ascii="仿宋_GB2312" w:hAnsi="仿宋_GB2312" w:eastAsia="仿宋_GB2312" w:cs="仿宋_GB2312"/>
          <w:b w:val="0"/>
          <w:bCs w:val="0"/>
          <w:color w:val="333333"/>
          <w:kern w:val="0"/>
          <w:sz w:val="32"/>
          <w:szCs w:val="32"/>
          <w:lang w:eastAsia="zh-CN"/>
        </w:rPr>
        <w:t>）乘客电梯、载货电梯(季度)维护保养项目及要求</w:t>
      </w:r>
    </w:p>
    <w:tbl>
      <w:tblPr>
        <w:tblStyle w:val="21"/>
        <w:tblW w:w="894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4"/>
        <w:gridCol w:w="4226"/>
        <w:gridCol w:w="560"/>
        <w:gridCol w:w="3571"/>
      </w:tblGrid>
      <w:tr w14:paraId="7975A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584" w:type="dxa"/>
            <w:textDirection w:val="tbRlV"/>
            <w:vAlign w:val="top"/>
          </w:tcPr>
          <w:p w14:paraId="42AB0601">
            <w:pPr>
              <w:pStyle w:val="20"/>
              <w:spacing w:before="209" w:line="199" w:lineRule="auto"/>
              <w:ind w:left="65"/>
              <w:rPr>
                <w:sz w:val="18"/>
                <w:szCs w:val="18"/>
              </w:rPr>
            </w:pPr>
            <w:r>
              <w:rPr>
                <w:sz w:val="18"/>
                <w:szCs w:val="18"/>
              </w:rPr>
              <w:t>序</w:t>
            </w:r>
            <w:r>
              <w:rPr>
                <w:spacing w:val="44"/>
                <w:sz w:val="18"/>
                <w:szCs w:val="18"/>
              </w:rPr>
              <w:t xml:space="preserve"> </w:t>
            </w:r>
            <w:r>
              <w:rPr>
                <w:sz w:val="18"/>
                <w:szCs w:val="18"/>
              </w:rPr>
              <w:t>号</w:t>
            </w:r>
          </w:p>
        </w:tc>
        <w:tc>
          <w:tcPr>
            <w:tcW w:w="4226" w:type="dxa"/>
            <w:vAlign w:val="top"/>
          </w:tcPr>
          <w:p w14:paraId="4D4BC1DF">
            <w:pPr>
              <w:pStyle w:val="20"/>
              <w:spacing w:before="232" w:line="219" w:lineRule="auto"/>
              <w:ind w:left="761"/>
              <w:rPr>
                <w:sz w:val="19"/>
                <w:szCs w:val="19"/>
              </w:rPr>
            </w:pPr>
            <w:r>
              <w:rPr>
                <w:spacing w:val="-1"/>
                <w:sz w:val="19"/>
                <w:szCs w:val="19"/>
              </w:rPr>
              <w:t>维护保养项目(内容)及要求</w:t>
            </w:r>
          </w:p>
        </w:tc>
        <w:tc>
          <w:tcPr>
            <w:tcW w:w="560" w:type="dxa"/>
            <w:textDirection w:val="tbRlV"/>
            <w:vAlign w:val="top"/>
          </w:tcPr>
          <w:p w14:paraId="4DA66101">
            <w:pPr>
              <w:pStyle w:val="20"/>
              <w:spacing w:before="195" w:line="199" w:lineRule="auto"/>
              <w:ind w:left="65"/>
              <w:rPr>
                <w:sz w:val="19"/>
                <w:szCs w:val="19"/>
              </w:rPr>
            </w:pPr>
            <w:r>
              <w:rPr>
                <w:sz w:val="19"/>
                <w:szCs w:val="19"/>
              </w:rPr>
              <w:t>序</w:t>
            </w:r>
            <w:r>
              <w:rPr>
                <w:spacing w:val="44"/>
                <w:sz w:val="19"/>
                <w:szCs w:val="19"/>
              </w:rPr>
              <w:t xml:space="preserve"> </w:t>
            </w:r>
            <w:r>
              <w:rPr>
                <w:sz w:val="19"/>
                <w:szCs w:val="19"/>
              </w:rPr>
              <w:t>号</w:t>
            </w:r>
          </w:p>
        </w:tc>
        <w:tc>
          <w:tcPr>
            <w:tcW w:w="3571" w:type="dxa"/>
            <w:vAlign w:val="top"/>
          </w:tcPr>
          <w:p w14:paraId="573A949B">
            <w:pPr>
              <w:pStyle w:val="20"/>
              <w:spacing w:before="232" w:line="219" w:lineRule="auto"/>
              <w:ind w:left="834"/>
              <w:rPr>
                <w:sz w:val="19"/>
                <w:szCs w:val="19"/>
              </w:rPr>
            </w:pPr>
            <w:r>
              <w:rPr>
                <w:spacing w:val="-1"/>
                <w:sz w:val="19"/>
                <w:szCs w:val="19"/>
              </w:rPr>
              <w:t>维护保养项目(内容)及要求</w:t>
            </w:r>
          </w:p>
        </w:tc>
      </w:tr>
      <w:tr w14:paraId="31399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584" w:type="dxa"/>
            <w:vAlign w:val="top"/>
          </w:tcPr>
          <w:p w14:paraId="04295870">
            <w:pPr>
              <w:pStyle w:val="20"/>
              <w:spacing w:before="246" w:line="241" w:lineRule="auto"/>
              <w:ind w:left="235"/>
              <w:rPr>
                <w:sz w:val="18"/>
                <w:szCs w:val="18"/>
              </w:rPr>
            </w:pPr>
            <w:r>
              <w:rPr>
                <w:sz w:val="18"/>
                <w:szCs w:val="18"/>
              </w:rPr>
              <w:t>1</w:t>
            </w:r>
          </w:p>
        </w:tc>
        <w:tc>
          <w:tcPr>
            <w:tcW w:w="4226" w:type="dxa"/>
            <w:vAlign w:val="top"/>
          </w:tcPr>
          <w:p w14:paraId="5CC12CF2">
            <w:pPr>
              <w:pStyle w:val="20"/>
              <w:spacing w:before="87" w:line="219" w:lineRule="auto"/>
              <w:ind w:left="91"/>
              <w:rPr>
                <w:sz w:val="19"/>
                <w:szCs w:val="19"/>
              </w:rPr>
            </w:pPr>
            <w:r>
              <w:rPr>
                <w:spacing w:val="-1"/>
                <w:sz w:val="19"/>
                <w:szCs w:val="19"/>
              </w:rPr>
              <w:t>机房、滑轮间环境清洁，门窗完好，照明正常</w:t>
            </w:r>
          </w:p>
        </w:tc>
        <w:tc>
          <w:tcPr>
            <w:tcW w:w="560" w:type="dxa"/>
            <w:vAlign w:val="top"/>
          </w:tcPr>
          <w:p w14:paraId="4F26A3DE">
            <w:pPr>
              <w:pStyle w:val="20"/>
              <w:spacing w:before="246" w:line="241" w:lineRule="auto"/>
              <w:ind w:left="184"/>
              <w:rPr>
                <w:sz w:val="19"/>
                <w:szCs w:val="19"/>
              </w:rPr>
            </w:pPr>
            <w:r>
              <w:rPr>
                <w:spacing w:val="-3"/>
                <w:sz w:val="19"/>
                <w:szCs w:val="19"/>
              </w:rPr>
              <w:t>24</w:t>
            </w:r>
          </w:p>
        </w:tc>
        <w:tc>
          <w:tcPr>
            <w:tcW w:w="3571" w:type="dxa"/>
            <w:vAlign w:val="top"/>
          </w:tcPr>
          <w:p w14:paraId="39CB330D">
            <w:pPr>
              <w:pStyle w:val="20"/>
              <w:spacing w:before="228" w:line="219" w:lineRule="auto"/>
              <w:ind w:left="95"/>
              <w:rPr>
                <w:sz w:val="19"/>
                <w:szCs w:val="19"/>
              </w:rPr>
            </w:pPr>
            <w:r>
              <w:rPr>
                <w:spacing w:val="-1"/>
                <w:sz w:val="19"/>
                <w:szCs w:val="19"/>
              </w:rPr>
              <w:t>层站召唤、层楼显示齐全，有效</w:t>
            </w:r>
          </w:p>
        </w:tc>
      </w:tr>
      <w:tr w14:paraId="39E36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84" w:type="dxa"/>
            <w:vAlign w:val="top"/>
          </w:tcPr>
          <w:p w14:paraId="74347ED4">
            <w:pPr>
              <w:pStyle w:val="20"/>
              <w:spacing w:before="87" w:line="218" w:lineRule="auto"/>
              <w:ind w:left="235"/>
              <w:rPr>
                <w:sz w:val="18"/>
                <w:szCs w:val="18"/>
              </w:rPr>
            </w:pPr>
            <w:r>
              <w:rPr>
                <w:sz w:val="18"/>
                <w:szCs w:val="18"/>
              </w:rPr>
              <w:t>2</w:t>
            </w:r>
          </w:p>
        </w:tc>
        <w:tc>
          <w:tcPr>
            <w:tcW w:w="4226" w:type="dxa"/>
            <w:vAlign w:val="top"/>
          </w:tcPr>
          <w:p w14:paraId="4ACEF0D5">
            <w:pPr>
              <w:pStyle w:val="20"/>
              <w:spacing w:before="69" w:line="219" w:lineRule="auto"/>
              <w:ind w:left="91"/>
              <w:rPr>
                <w:sz w:val="19"/>
                <w:szCs w:val="19"/>
              </w:rPr>
            </w:pPr>
            <w:r>
              <w:rPr>
                <w:spacing w:val="-1"/>
                <w:sz w:val="19"/>
                <w:szCs w:val="19"/>
              </w:rPr>
              <w:t>手动紧急操作装置齐全，在指定位置</w:t>
            </w:r>
          </w:p>
        </w:tc>
        <w:tc>
          <w:tcPr>
            <w:tcW w:w="560" w:type="dxa"/>
            <w:vAlign w:val="top"/>
          </w:tcPr>
          <w:p w14:paraId="644866A4">
            <w:pPr>
              <w:pStyle w:val="20"/>
              <w:spacing w:before="87" w:line="218" w:lineRule="auto"/>
              <w:ind w:left="184"/>
              <w:rPr>
                <w:sz w:val="19"/>
                <w:szCs w:val="19"/>
              </w:rPr>
            </w:pPr>
            <w:r>
              <w:rPr>
                <w:spacing w:val="-3"/>
                <w:sz w:val="19"/>
                <w:szCs w:val="19"/>
              </w:rPr>
              <w:t>25</w:t>
            </w:r>
          </w:p>
        </w:tc>
        <w:tc>
          <w:tcPr>
            <w:tcW w:w="3571" w:type="dxa"/>
            <w:vAlign w:val="top"/>
          </w:tcPr>
          <w:p w14:paraId="41485B36">
            <w:pPr>
              <w:pStyle w:val="20"/>
              <w:spacing w:before="69" w:line="219" w:lineRule="auto"/>
              <w:ind w:left="95"/>
              <w:rPr>
                <w:sz w:val="19"/>
                <w:szCs w:val="19"/>
              </w:rPr>
            </w:pPr>
            <w:r>
              <w:rPr>
                <w:spacing w:val="-1"/>
                <w:sz w:val="19"/>
                <w:szCs w:val="19"/>
              </w:rPr>
              <w:t>层门地坎清洁</w:t>
            </w:r>
          </w:p>
        </w:tc>
      </w:tr>
      <w:tr w14:paraId="5103E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584" w:type="dxa"/>
            <w:vAlign w:val="top"/>
          </w:tcPr>
          <w:p w14:paraId="207600C0">
            <w:pPr>
              <w:pStyle w:val="20"/>
              <w:spacing w:before="146"/>
              <w:ind w:left="235"/>
              <w:rPr>
                <w:sz w:val="18"/>
                <w:szCs w:val="18"/>
              </w:rPr>
            </w:pPr>
            <w:r>
              <w:rPr>
                <w:sz w:val="18"/>
                <w:szCs w:val="18"/>
              </w:rPr>
              <w:t>3</w:t>
            </w:r>
          </w:p>
        </w:tc>
        <w:tc>
          <w:tcPr>
            <w:tcW w:w="4226" w:type="dxa"/>
            <w:vAlign w:val="top"/>
          </w:tcPr>
          <w:p w14:paraId="49C3FEAA">
            <w:pPr>
              <w:pStyle w:val="20"/>
              <w:spacing w:before="128" w:line="219" w:lineRule="auto"/>
              <w:ind w:left="91"/>
              <w:rPr>
                <w:sz w:val="19"/>
                <w:szCs w:val="19"/>
              </w:rPr>
            </w:pPr>
            <w:r>
              <w:rPr>
                <w:sz w:val="19"/>
                <w:szCs w:val="19"/>
              </w:rPr>
              <w:t>驱动主机运行时无异常振动和异常声响</w:t>
            </w:r>
          </w:p>
        </w:tc>
        <w:tc>
          <w:tcPr>
            <w:tcW w:w="560" w:type="dxa"/>
            <w:vAlign w:val="top"/>
          </w:tcPr>
          <w:p w14:paraId="41CE8FCA">
            <w:pPr>
              <w:pStyle w:val="20"/>
              <w:spacing w:before="146"/>
              <w:ind w:left="184"/>
              <w:rPr>
                <w:sz w:val="19"/>
                <w:szCs w:val="19"/>
              </w:rPr>
            </w:pPr>
            <w:r>
              <w:rPr>
                <w:spacing w:val="-3"/>
                <w:sz w:val="19"/>
                <w:szCs w:val="19"/>
              </w:rPr>
              <w:t>26</w:t>
            </w:r>
          </w:p>
        </w:tc>
        <w:tc>
          <w:tcPr>
            <w:tcW w:w="3571" w:type="dxa"/>
            <w:vAlign w:val="top"/>
          </w:tcPr>
          <w:p w14:paraId="7A173AFE">
            <w:pPr>
              <w:pStyle w:val="20"/>
              <w:spacing w:before="129" w:line="219" w:lineRule="auto"/>
              <w:ind w:left="95"/>
              <w:rPr>
                <w:sz w:val="19"/>
                <w:szCs w:val="19"/>
              </w:rPr>
            </w:pPr>
            <w:r>
              <w:rPr>
                <w:spacing w:val="-1"/>
                <w:sz w:val="19"/>
                <w:szCs w:val="19"/>
              </w:rPr>
              <w:t>层门自动关门装置正常</w:t>
            </w:r>
          </w:p>
        </w:tc>
      </w:tr>
      <w:tr w14:paraId="7A84D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84" w:type="dxa"/>
            <w:vAlign w:val="top"/>
          </w:tcPr>
          <w:p w14:paraId="2CBF8189">
            <w:pPr>
              <w:pStyle w:val="20"/>
              <w:spacing w:before="87" w:line="218" w:lineRule="auto"/>
              <w:ind w:left="235"/>
              <w:rPr>
                <w:sz w:val="18"/>
                <w:szCs w:val="18"/>
              </w:rPr>
            </w:pPr>
            <w:r>
              <w:rPr>
                <w:sz w:val="18"/>
                <w:szCs w:val="18"/>
              </w:rPr>
              <w:t>4</w:t>
            </w:r>
          </w:p>
        </w:tc>
        <w:tc>
          <w:tcPr>
            <w:tcW w:w="4226" w:type="dxa"/>
            <w:vAlign w:val="top"/>
          </w:tcPr>
          <w:p w14:paraId="53FAD55D">
            <w:pPr>
              <w:pStyle w:val="20"/>
              <w:spacing w:before="68" w:line="219" w:lineRule="auto"/>
              <w:ind w:left="91"/>
              <w:rPr>
                <w:sz w:val="19"/>
                <w:szCs w:val="19"/>
              </w:rPr>
            </w:pPr>
            <w:r>
              <w:rPr>
                <w:spacing w:val="-1"/>
                <w:sz w:val="19"/>
                <w:szCs w:val="19"/>
              </w:rPr>
              <w:t>制动器各销轴部位动作灵活</w:t>
            </w:r>
          </w:p>
        </w:tc>
        <w:tc>
          <w:tcPr>
            <w:tcW w:w="560" w:type="dxa"/>
            <w:vAlign w:val="top"/>
          </w:tcPr>
          <w:p w14:paraId="41DC9EEE">
            <w:pPr>
              <w:pStyle w:val="20"/>
              <w:spacing w:before="87" w:line="218" w:lineRule="auto"/>
              <w:ind w:left="184"/>
              <w:rPr>
                <w:sz w:val="19"/>
                <w:szCs w:val="19"/>
              </w:rPr>
            </w:pPr>
            <w:r>
              <w:rPr>
                <w:spacing w:val="-3"/>
                <w:sz w:val="19"/>
                <w:szCs w:val="19"/>
              </w:rPr>
              <w:t>29</w:t>
            </w:r>
          </w:p>
        </w:tc>
        <w:tc>
          <w:tcPr>
            <w:tcW w:w="3571" w:type="dxa"/>
            <w:vAlign w:val="top"/>
          </w:tcPr>
          <w:p w14:paraId="015B871A">
            <w:pPr>
              <w:pStyle w:val="20"/>
              <w:spacing w:before="69" w:line="219" w:lineRule="auto"/>
              <w:ind w:left="95"/>
              <w:rPr>
                <w:sz w:val="19"/>
                <w:szCs w:val="19"/>
              </w:rPr>
            </w:pPr>
            <w:r>
              <w:rPr>
                <w:spacing w:val="-1"/>
                <w:sz w:val="19"/>
                <w:szCs w:val="19"/>
              </w:rPr>
              <w:t>层门锁紧元件啮合长度不小于7mm</w:t>
            </w:r>
          </w:p>
        </w:tc>
      </w:tr>
      <w:tr w14:paraId="4DC5C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84" w:type="dxa"/>
            <w:vAlign w:val="top"/>
          </w:tcPr>
          <w:p w14:paraId="45CB277D">
            <w:pPr>
              <w:pStyle w:val="20"/>
              <w:spacing w:before="246"/>
              <w:ind w:left="235"/>
              <w:rPr>
                <w:sz w:val="18"/>
                <w:szCs w:val="18"/>
              </w:rPr>
            </w:pPr>
            <w:r>
              <w:rPr>
                <w:sz w:val="18"/>
                <w:szCs w:val="18"/>
              </w:rPr>
              <w:t>5</w:t>
            </w:r>
          </w:p>
        </w:tc>
        <w:tc>
          <w:tcPr>
            <w:tcW w:w="4226" w:type="dxa"/>
            <w:vAlign w:val="top"/>
          </w:tcPr>
          <w:p w14:paraId="604FF9ED">
            <w:pPr>
              <w:pStyle w:val="20"/>
              <w:spacing w:before="77" w:line="239" w:lineRule="auto"/>
              <w:ind w:left="91" w:right="342" w:firstLine="9"/>
              <w:rPr>
                <w:sz w:val="19"/>
                <w:szCs w:val="19"/>
              </w:rPr>
            </w:pPr>
            <w:r>
              <w:rPr>
                <w:spacing w:val="-1"/>
                <w:sz w:val="19"/>
                <w:szCs w:val="19"/>
              </w:rPr>
              <w:t>制动器间隙，打开时制动衬与帛动轮不应发生摩</w:t>
            </w:r>
            <w:r>
              <w:rPr>
                <w:spacing w:val="12"/>
                <w:sz w:val="19"/>
                <w:szCs w:val="19"/>
              </w:rPr>
              <w:t xml:space="preserve"> </w:t>
            </w:r>
            <w:r>
              <w:rPr>
                <w:spacing w:val="-1"/>
                <w:sz w:val="19"/>
                <w:szCs w:val="19"/>
              </w:rPr>
              <w:t>擦，间隙值符合制造单位要求</w:t>
            </w:r>
          </w:p>
        </w:tc>
        <w:tc>
          <w:tcPr>
            <w:tcW w:w="560" w:type="dxa"/>
            <w:vAlign w:val="top"/>
          </w:tcPr>
          <w:p w14:paraId="2EBA2155">
            <w:pPr>
              <w:pStyle w:val="20"/>
              <w:spacing w:before="246"/>
              <w:ind w:left="184"/>
              <w:rPr>
                <w:sz w:val="19"/>
                <w:szCs w:val="19"/>
              </w:rPr>
            </w:pPr>
            <w:r>
              <w:rPr>
                <w:spacing w:val="-3"/>
                <w:sz w:val="19"/>
                <w:szCs w:val="19"/>
              </w:rPr>
              <w:t>27</w:t>
            </w:r>
          </w:p>
        </w:tc>
        <w:tc>
          <w:tcPr>
            <w:tcW w:w="3571" w:type="dxa"/>
            <w:vAlign w:val="top"/>
          </w:tcPr>
          <w:p w14:paraId="0728B951">
            <w:pPr>
              <w:pStyle w:val="20"/>
              <w:spacing w:before="79" w:line="238" w:lineRule="auto"/>
              <w:ind w:left="95" w:right="157" w:firstLine="9"/>
              <w:rPr>
                <w:sz w:val="19"/>
                <w:szCs w:val="19"/>
              </w:rPr>
            </w:pPr>
            <w:r>
              <w:rPr>
                <w:spacing w:val="-1"/>
                <w:sz w:val="19"/>
                <w:szCs w:val="19"/>
              </w:rPr>
              <w:t>层门门锁自动复位用层门钥匙打开手动开锁装置释放</w:t>
            </w:r>
            <w:r>
              <w:rPr>
                <w:spacing w:val="14"/>
                <w:sz w:val="19"/>
                <w:szCs w:val="19"/>
              </w:rPr>
              <w:t xml:space="preserve"> </w:t>
            </w:r>
            <w:r>
              <w:rPr>
                <w:spacing w:val="-1"/>
                <w:sz w:val="19"/>
                <w:szCs w:val="19"/>
              </w:rPr>
              <w:t>后，层门门锁能自动复位</w:t>
            </w:r>
          </w:p>
        </w:tc>
      </w:tr>
      <w:tr w14:paraId="30ABF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84" w:type="dxa"/>
            <w:vMerge w:val="restart"/>
            <w:tcBorders>
              <w:bottom w:val="nil"/>
            </w:tcBorders>
            <w:vAlign w:val="top"/>
          </w:tcPr>
          <w:p w14:paraId="74D9D7D5">
            <w:pPr>
              <w:spacing w:line="263" w:lineRule="auto"/>
              <w:rPr>
                <w:rFonts w:ascii="Arial"/>
                <w:sz w:val="21"/>
              </w:rPr>
            </w:pPr>
          </w:p>
          <w:p w14:paraId="7F682457">
            <w:pPr>
              <w:spacing w:line="263" w:lineRule="auto"/>
              <w:rPr>
                <w:rFonts w:ascii="Arial"/>
                <w:sz w:val="21"/>
              </w:rPr>
            </w:pPr>
          </w:p>
          <w:p w14:paraId="28A7D321">
            <w:pPr>
              <w:pStyle w:val="20"/>
              <w:spacing w:before="58"/>
              <w:ind w:left="235"/>
              <w:rPr>
                <w:sz w:val="18"/>
                <w:szCs w:val="18"/>
              </w:rPr>
            </w:pPr>
            <w:r>
              <w:rPr>
                <w:sz w:val="18"/>
                <w:szCs w:val="18"/>
              </w:rPr>
              <w:t>6</w:t>
            </w:r>
          </w:p>
        </w:tc>
        <w:tc>
          <w:tcPr>
            <w:tcW w:w="4226" w:type="dxa"/>
            <w:vMerge w:val="restart"/>
            <w:tcBorders>
              <w:bottom w:val="nil"/>
            </w:tcBorders>
            <w:vAlign w:val="top"/>
          </w:tcPr>
          <w:p w14:paraId="39650A44">
            <w:pPr>
              <w:pStyle w:val="20"/>
              <w:spacing w:before="120" w:line="220" w:lineRule="auto"/>
              <w:ind w:left="91"/>
              <w:rPr>
                <w:sz w:val="19"/>
                <w:szCs w:val="19"/>
              </w:rPr>
            </w:pPr>
            <w:r>
              <w:rPr>
                <w:spacing w:val="-1"/>
                <w:sz w:val="19"/>
                <w:szCs w:val="19"/>
              </w:rPr>
              <w:t>制动器作为轿厢意外移动保护装置制停子系统时</w:t>
            </w:r>
          </w:p>
          <w:p w14:paraId="04A294D4">
            <w:pPr>
              <w:pStyle w:val="20"/>
              <w:spacing w:before="53" w:line="249" w:lineRule="auto"/>
              <w:ind w:left="91" w:right="6"/>
              <w:rPr>
                <w:sz w:val="19"/>
                <w:szCs w:val="19"/>
              </w:rPr>
            </w:pPr>
            <w:r>
              <w:rPr>
                <w:spacing w:val="-1"/>
                <w:sz w:val="19"/>
                <w:szCs w:val="19"/>
              </w:rPr>
              <w:t>的自监测，制动力人工方式检测符合使用维护说明书</w:t>
            </w:r>
            <w:r>
              <w:rPr>
                <w:sz w:val="19"/>
                <w:szCs w:val="19"/>
              </w:rPr>
              <w:t xml:space="preserve"> </w:t>
            </w:r>
            <w:r>
              <w:rPr>
                <w:spacing w:val="-1"/>
                <w:sz w:val="19"/>
                <w:szCs w:val="19"/>
              </w:rPr>
              <w:t>要求；制动力自监测系统有记录</w:t>
            </w:r>
          </w:p>
        </w:tc>
        <w:tc>
          <w:tcPr>
            <w:tcW w:w="560" w:type="dxa"/>
            <w:vAlign w:val="top"/>
          </w:tcPr>
          <w:p w14:paraId="54AE4684">
            <w:pPr>
              <w:pStyle w:val="20"/>
              <w:spacing w:before="248"/>
              <w:ind w:left="184"/>
              <w:rPr>
                <w:sz w:val="19"/>
                <w:szCs w:val="19"/>
              </w:rPr>
            </w:pPr>
            <w:r>
              <w:rPr>
                <w:spacing w:val="-3"/>
                <w:sz w:val="19"/>
                <w:szCs w:val="19"/>
              </w:rPr>
              <w:t>28</w:t>
            </w:r>
          </w:p>
        </w:tc>
        <w:tc>
          <w:tcPr>
            <w:tcW w:w="3571" w:type="dxa"/>
            <w:vAlign w:val="top"/>
          </w:tcPr>
          <w:p w14:paraId="69A77F9D">
            <w:pPr>
              <w:pStyle w:val="20"/>
              <w:spacing w:before="60" w:line="219" w:lineRule="auto"/>
              <w:ind w:left="95"/>
              <w:rPr>
                <w:sz w:val="19"/>
                <w:szCs w:val="19"/>
              </w:rPr>
            </w:pPr>
            <w:r>
              <w:rPr>
                <w:spacing w:val="-1"/>
                <w:sz w:val="19"/>
                <w:szCs w:val="19"/>
              </w:rPr>
              <w:t>层门门锁电气触点清洁，触点接触良好，接线可靠</w:t>
            </w:r>
          </w:p>
        </w:tc>
      </w:tr>
      <w:tr w14:paraId="66C07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84" w:type="dxa"/>
            <w:vMerge w:val="continue"/>
            <w:tcBorders>
              <w:top w:val="nil"/>
              <w:bottom w:val="nil"/>
            </w:tcBorders>
            <w:vAlign w:val="top"/>
          </w:tcPr>
          <w:p w14:paraId="311A1DE1">
            <w:pPr>
              <w:rPr>
                <w:rFonts w:ascii="Arial"/>
                <w:sz w:val="21"/>
              </w:rPr>
            </w:pPr>
          </w:p>
        </w:tc>
        <w:tc>
          <w:tcPr>
            <w:tcW w:w="4226" w:type="dxa"/>
            <w:vMerge w:val="continue"/>
            <w:tcBorders>
              <w:top w:val="nil"/>
              <w:bottom w:val="nil"/>
            </w:tcBorders>
            <w:vAlign w:val="top"/>
          </w:tcPr>
          <w:p w14:paraId="4CEC3C96">
            <w:pPr>
              <w:rPr>
                <w:rFonts w:ascii="Arial"/>
                <w:sz w:val="19"/>
                <w:szCs w:val="19"/>
              </w:rPr>
            </w:pPr>
          </w:p>
        </w:tc>
        <w:tc>
          <w:tcPr>
            <w:tcW w:w="560" w:type="dxa"/>
            <w:vAlign w:val="top"/>
          </w:tcPr>
          <w:p w14:paraId="0F9B1EDA">
            <w:pPr>
              <w:pStyle w:val="20"/>
              <w:spacing w:before="109" w:line="236" w:lineRule="auto"/>
              <w:ind w:left="184"/>
              <w:rPr>
                <w:sz w:val="19"/>
                <w:szCs w:val="19"/>
              </w:rPr>
            </w:pPr>
            <w:r>
              <w:rPr>
                <w:spacing w:val="-3"/>
                <w:sz w:val="19"/>
                <w:szCs w:val="19"/>
              </w:rPr>
              <w:t>29</w:t>
            </w:r>
          </w:p>
        </w:tc>
        <w:tc>
          <w:tcPr>
            <w:tcW w:w="3571" w:type="dxa"/>
            <w:vAlign w:val="top"/>
          </w:tcPr>
          <w:p w14:paraId="79CC8AF0">
            <w:pPr>
              <w:pStyle w:val="20"/>
              <w:spacing w:before="91" w:line="219" w:lineRule="auto"/>
              <w:ind w:left="95"/>
              <w:rPr>
                <w:sz w:val="19"/>
                <w:szCs w:val="19"/>
              </w:rPr>
            </w:pPr>
            <w:r>
              <w:rPr>
                <w:spacing w:val="-1"/>
                <w:sz w:val="19"/>
                <w:szCs w:val="19"/>
              </w:rPr>
              <w:t>层门锁紧元件啮合长度不小于7mm</w:t>
            </w:r>
          </w:p>
        </w:tc>
      </w:tr>
      <w:tr w14:paraId="46EFF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84" w:type="dxa"/>
            <w:vMerge w:val="continue"/>
            <w:tcBorders>
              <w:top w:val="nil"/>
            </w:tcBorders>
            <w:vAlign w:val="top"/>
          </w:tcPr>
          <w:p w14:paraId="3FFBF732">
            <w:pPr>
              <w:rPr>
                <w:rFonts w:ascii="Arial"/>
                <w:sz w:val="21"/>
              </w:rPr>
            </w:pPr>
          </w:p>
        </w:tc>
        <w:tc>
          <w:tcPr>
            <w:tcW w:w="4226" w:type="dxa"/>
            <w:vMerge w:val="continue"/>
            <w:tcBorders>
              <w:top w:val="nil"/>
            </w:tcBorders>
            <w:vAlign w:val="top"/>
          </w:tcPr>
          <w:p w14:paraId="5F2C4431">
            <w:pPr>
              <w:rPr>
                <w:rFonts w:ascii="Arial"/>
                <w:sz w:val="19"/>
                <w:szCs w:val="19"/>
              </w:rPr>
            </w:pPr>
          </w:p>
        </w:tc>
        <w:tc>
          <w:tcPr>
            <w:tcW w:w="560" w:type="dxa"/>
            <w:vAlign w:val="top"/>
          </w:tcPr>
          <w:p w14:paraId="57EFE52A">
            <w:pPr>
              <w:pStyle w:val="20"/>
              <w:spacing w:before="89" w:line="226" w:lineRule="auto"/>
              <w:ind w:left="184"/>
              <w:rPr>
                <w:sz w:val="19"/>
                <w:szCs w:val="19"/>
              </w:rPr>
            </w:pPr>
            <w:r>
              <w:rPr>
                <w:spacing w:val="-3"/>
                <w:sz w:val="19"/>
                <w:szCs w:val="19"/>
              </w:rPr>
              <w:t>30</w:t>
            </w:r>
          </w:p>
        </w:tc>
        <w:tc>
          <w:tcPr>
            <w:tcW w:w="3571" w:type="dxa"/>
            <w:vAlign w:val="top"/>
          </w:tcPr>
          <w:p w14:paraId="141C9155">
            <w:pPr>
              <w:pStyle w:val="20"/>
              <w:spacing w:before="71" w:line="219" w:lineRule="auto"/>
              <w:ind w:left="95"/>
              <w:rPr>
                <w:sz w:val="19"/>
                <w:szCs w:val="19"/>
              </w:rPr>
            </w:pPr>
            <w:r>
              <w:rPr>
                <w:spacing w:val="-1"/>
                <w:sz w:val="19"/>
                <w:szCs w:val="19"/>
              </w:rPr>
              <w:t>底坑环境清洁，无渗水、积水，  照明正常</w:t>
            </w:r>
          </w:p>
        </w:tc>
      </w:tr>
      <w:tr w14:paraId="674D7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84" w:type="dxa"/>
            <w:vAlign w:val="top"/>
          </w:tcPr>
          <w:p w14:paraId="2D9B55F1">
            <w:pPr>
              <w:pStyle w:val="20"/>
              <w:spacing w:before="89" w:line="216" w:lineRule="auto"/>
              <w:ind w:left="235"/>
              <w:rPr>
                <w:sz w:val="18"/>
                <w:szCs w:val="18"/>
              </w:rPr>
            </w:pPr>
            <w:r>
              <w:rPr>
                <w:sz w:val="18"/>
                <w:szCs w:val="18"/>
              </w:rPr>
              <w:t>7</w:t>
            </w:r>
          </w:p>
        </w:tc>
        <w:tc>
          <w:tcPr>
            <w:tcW w:w="4226" w:type="dxa"/>
            <w:vAlign w:val="top"/>
          </w:tcPr>
          <w:p w14:paraId="763D60E8">
            <w:pPr>
              <w:pStyle w:val="20"/>
              <w:spacing w:before="71" w:line="219" w:lineRule="auto"/>
              <w:ind w:left="91"/>
              <w:rPr>
                <w:sz w:val="19"/>
                <w:szCs w:val="19"/>
              </w:rPr>
            </w:pPr>
            <w:r>
              <w:rPr>
                <w:spacing w:val="1"/>
                <w:sz w:val="19"/>
                <w:szCs w:val="19"/>
              </w:rPr>
              <w:t>编码器清洁，安装牢固</w:t>
            </w:r>
          </w:p>
        </w:tc>
        <w:tc>
          <w:tcPr>
            <w:tcW w:w="560" w:type="dxa"/>
            <w:vAlign w:val="top"/>
          </w:tcPr>
          <w:p w14:paraId="55706FC0">
            <w:pPr>
              <w:pStyle w:val="20"/>
              <w:spacing w:before="89" w:line="216" w:lineRule="auto"/>
              <w:ind w:left="184"/>
              <w:rPr>
                <w:sz w:val="19"/>
                <w:szCs w:val="19"/>
              </w:rPr>
            </w:pPr>
            <w:r>
              <w:rPr>
                <w:spacing w:val="-3"/>
                <w:sz w:val="19"/>
                <w:szCs w:val="19"/>
              </w:rPr>
              <w:t>31</w:t>
            </w:r>
          </w:p>
        </w:tc>
        <w:tc>
          <w:tcPr>
            <w:tcW w:w="3571" w:type="dxa"/>
            <w:vAlign w:val="top"/>
          </w:tcPr>
          <w:p w14:paraId="68648AF0">
            <w:pPr>
              <w:pStyle w:val="20"/>
              <w:spacing w:before="71" w:line="220" w:lineRule="auto"/>
              <w:ind w:left="95"/>
              <w:rPr>
                <w:sz w:val="19"/>
                <w:szCs w:val="19"/>
              </w:rPr>
            </w:pPr>
            <w:r>
              <w:rPr>
                <w:spacing w:val="-1"/>
                <w:sz w:val="19"/>
                <w:szCs w:val="19"/>
              </w:rPr>
              <w:t>底坑停止装置工作正常</w:t>
            </w:r>
          </w:p>
        </w:tc>
      </w:tr>
      <w:tr w14:paraId="10238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84" w:type="dxa"/>
            <w:vAlign w:val="top"/>
          </w:tcPr>
          <w:p w14:paraId="46B0BDB2">
            <w:pPr>
              <w:pStyle w:val="20"/>
              <w:spacing w:before="249"/>
              <w:ind w:left="235"/>
              <w:rPr>
                <w:sz w:val="18"/>
                <w:szCs w:val="18"/>
              </w:rPr>
            </w:pPr>
            <w:r>
              <w:rPr>
                <w:sz w:val="18"/>
                <w:szCs w:val="18"/>
              </w:rPr>
              <w:t>8</w:t>
            </w:r>
          </w:p>
        </w:tc>
        <w:tc>
          <w:tcPr>
            <w:tcW w:w="4226" w:type="dxa"/>
            <w:vAlign w:val="top"/>
          </w:tcPr>
          <w:p w14:paraId="61E55E7E">
            <w:pPr>
              <w:pStyle w:val="20"/>
              <w:spacing w:before="90" w:line="219" w:lineRule="auto"/>
              <w:ind w:left="91"/>
              <w:rPr>
                <w:sz w:val="19"/>
                <w:szCs w:val="19"/>
              </w:rPr>
            </w:pPr>
            <w:r>
              <w:rPr>
                <w:sz w:val="19"/>
                <w:szCs w:val="19"/>
              </w:rPr>
              <w:t>限速器各销轴部位润滑，转动灵活；电气开关正常</w:t>
            </w:r>
          </w:p>
        </w:tc>
        <w:tc>
          <w:tcPr>
            <w:tcW w:w="560" w:type="dxa"/>
            <w:vAlign w:val="top"/>
          </w:tcPr>
          <w:p w14:paraId="1CD6D510">
            <w:pPr>
              <w:pStyle w:val="20"/>
              <w:spacing w:before="249"/>
              <w:ind w:left="184"/>
              <w:rPr>
                <w:sz w:val="19"/>
                <w:szCs w:val="19"/>
              </w:rPr>
            </w:pPr>
            <w:r>
              <w:rPr>
                <w:spacing w:val="-3"/>
                <w:sz w:val="19"/>
                <w:szCs w:val="19"/>
              </w:rPr>
              <w:t>32</w:t>
            </w:r>
          </w:p>
        </w:tc>
        <w:tc>
          <w:tcPr>
            <w:tcW w:w="3571" w:type="dxa"/>
            <w:vAlign w:val="top"/>
          </w:tcPr>
          <w:p w14:paraId="164104FA">
            <w:pPr>
              <w:pStyle w:val="20"/>
              <w:spacing w:before="90" w:line="219" w:lineRule="auto"/>
              <w:ind w:left="95"/>
              <w:rPr>
                <w:sz w:val="19"/>
                <w:szCs w:val="19"/>
              </w:rPr>
            </w:pPr>
            <w:r>
              <w:rPr>
                <w:spacing w:val="-1"/>
                <w:sz w:val="19"/>
                <w:szCs w:val="19"/>
              </w:rPr>
              <w:t>减速机润滑油，油量适宜，除蜗杆伸出端外均无渗漏</w:t>
            </w:r>
          </w:p>
        </w:tc>
      </w:tr>
      <w:tr w14:paraId="0CAB8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84" w:type="dxa"/>
            <w:vAlign w:val="top"/>
          </w:tcPr>
          <w:p w14:paraId="456B9799">
            <w:pPr>
              <w:pStyle w:val="20"/>
              <w:spacing w:before="90" w:line="225" w:lineRule="auto"/>
              <w:ind w:left="235"/>
              <w:rPr>
                <w:sz w:val="18"/>
                <w:szCs w:val="18"/>
              </w:rPr>
            </w:pPr>
            <w:r>
              <w:rPr>
                <w:sz w:val="18"/>
                <w:szCs w:val="18"/>
              </w:rPr>
              <w:t>9</w:t>
            </w:r>
          </w:p>
        </w:tc>
        <w:tc>
          <w:tcPr>
            <w:tcW w:w="4226" w:type="dxa"/>
            <w:vAlign w:val="top"/>
          </w:tcPr>
          <w:p w14:paraId="29F9F005">
            <w:pPr>
              <w:pStyle w:val="20"/>
              <w:spacing w:before="72" w:line="219" w:lineRule="auto"/>
              <w:ind w:left="91"/>
              <w:rPr>
                <w:sz w:val="19"/>
                <w:szCs w:val="19"/>
              </w:rPr>
            </w:pPr>
            <w:r>
              <w:rPr>
                <w:spacing w:val="-1"/>
                <w:sz w:val="19"/>
                <w:szCs w:val="19"/>
              </w:rPr>
              <w:t>层门和轿门旁路装置工作正常</w:t>
            </w:r>
          </w:p>
        </w:tc>
        <w:tc>
          <w:tcPr>
            <w:tcW w:w="560" w:type="dxa"/>
            <w:vAlign w:val="top"/>
          </w:tcPr>
          <w:p w14:paraId="1A206805">
            <w:pPr>
              <w:pStyle w:val="20"/>
              <w:spacing w:before="90" w:line="225" w:lineRule="auto"/>
              <w:ind w:left="184"/>
              <w:rPr>
                <w:sz w:val="19"/>
                <w:szCs w:val="19"/>
              </w:rPr>
            </w:pPr>
            <w:r>
              <w:rPr>
                <w:spacing w:val="-3"/>
                <w:sz w:val="19"/>
                <w:szCs w:val="19"/>
              </w:rPr>
              <w:t>33</w:t>
            </w:r>
          </w:p>
        </w:tc>
        <w:tc>
          <w:tcPr>
            <w:tcW w:w="3571" w:type="dxa"/>
            <w:vAlign w:val="top"/>
          </w:tcPr>
          <w:p w14:paraId="124F7EBF">
            <w:pPr>
              <w:pStyle w:val="20"/>
              <w:spacing w:before="72" w:line="219" w:lineRule="auto"/>
              <w:ind w:left="95"/>
              <w:rPr>
                <w:sz w:val="19"/>
                <w:szCs w:val="19"/>
              </w:rPr>
            </w:pPr>
            <w:r>
              <w:rPr>
                <w:spacing w:val="-1"/>
                <w:sz w:val="19"/>
                <w:szCs w:val="19"/>
              </w:rPr>
              <w:t>制动衬清洁，损量不超过制造单位要求</w:t>
            </w:r>
          </w:p>
        </w:tc>
      </w:tr>
      <w:tr w14:paraId="53605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84" w:type="dxa"/>
            <w:vAlign w:val="top"/>
          </w:tcPr>
          <w:p w14:paraId="018FCBE5">
            <w:pPr>
              <w:pStyle w:val="20"/>
              <w:spacing w:before="139"/>
              <w:ind w:left="195"/>
              <w:rPr>
                <w:sz w:val="18"/>
                <w:szCs w:val="18"/>
              </w:rPr>
            </w:pPr>
            <w:r>
              <w:rPr>
                <w:spacing w:val="-6"/>
                <w:sz w:val="18"/>
                <w:szCs w:val="18"/>
              </w:rPr>
              <w:t>10</w:t>
            </w:r>
          </w:p>
        </w:tc>
        <w:tc>
          <w:tcPr>
            <w:tcW w:w="4226" w:type="dxa"/>
            <w:vAlign w:val="top"/>
          </w:tcPr>
          <w:p w14:paraId="3BD90DD4">
            <w:pPr>
              <w:pStyle w:val="20"/>
              <w:spacing w:before="122" w:line="219" w:lineRule="auto"/>
              <w:ind w:left="91"/>
              <w:rPr>
                <w:sz w:val="19"/>
                <w:szCs w:val="19"/>
              </w:rPr>
            </w:pPr>
            <w:r>
              <w:rPr>
                <w:sz w:val="19"/>
                <w:szCs w:val="19"/>
              </w:rPr>
              <w:t>紧急电动运行工作正常</w:t>
            </w:r>
          </w:p>
        </w:tc>
        <w:tc>
          <w:tcPr>
            <w:tcW w:w="560" w:type="dxa"/>
            <w:vAlign w:val="top"/>
          </w:tcPr>
          <w:p w14:paraId="3B830926">
            <w:pPr>
              <w:pStyle w:val="20"/>
              <w:spacing w:before="139"/>
              <w:ind w:left="184"/>
              <w:rPr>
                <w:sz w:val="19"/>
                <w:szCs w:val="19"/>
              </w:rPr>
            </w:pPr>
            <w:r>
              <w:rPr>
                <w:spacing w:val="-3"/>
                <w:sz w:val="19"/>
                <w:szCs w:val="19"/>
              </w:rPr>
              <w:t>34</w:t>
            </w:r>
          </w:p>
        </w:tc>
        <w:tc>
          <w:tcPr>
            <w:tcW w:w="3571" w:type="dxa"/>
            <w:vAlign w:val="top"/>
          </w:tcPr>
          <w:p w14:paraId="38414BAE">
            <w:pPr>
              <w:pStyle w:val="20"/>
              <w:spacing w:before="122" w:line="219" w:lineRule="auto"/>
              <w:ind w:left="95"/>
              <w:rPr>
                <w:sz w:val="19"/>
                <w:szCs w:val="19"/>
              </w:rPr>
            </w:pPr>
            <w:r>
              <w:rPr>
                <w:spacing w:val="-2"/>
                <w:sz w:val="19"/>
                <w:szCs w:val="19"/>
              </w:rPr>
              <w:t>编码器工作正常</w:t>
            </w:r>
          </w:p>
        </w:tc>
      </w:tr>
      <w:tr w14:paraId="7F4B8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584" w:type="dxa"/>
            <w:vAlign w:val="top"/>
          </w:tcPr>
          <w:p w14:paraId="338F4091">
            <w:pPr>
              <w:pStyle w:val="20"/>
              <w:spacing w:before="120" w:line="241" w:lineRule="auto"/>
              <w:ind w:left="195"/>
              <w:rPr>
                <w:sz w:val="18"/>
                <w:szCs w:val="18"/>
              </w:rPr>
            </w:pPr>
            <w:r>
              <w:rPr>
                <w:spacing w:val="-6"/>
                <w:sz w:val="18"/>
                <w:szCs w:val="18"/>
              </w:rPr>
              <w:t>11</w:t>
            </w:r>
          </w:p>
        </w:tc>
        <w:tc>
          <w:tcPr>
            <w:tcW w:w="4226" w:type="dxa"/>
            <w:vAlign w:val="top"/>
          </w:tcPr>
          <w:p w14:paraId="727DE0E0">
            <w:pPr>
              <w:pStyle w:val="20"/>
              <w:spacing w:before="102" w:line="219" w:lineRule="auto"/>
              <w:ind w:left="91"/>
              <w:rPr>
                <w:sz w:val="19"/>
                <w:szCs w:val="19"/>
              </w:rPr>
            </w:pPr>
            <w:r>
              <w:rPr>
                <w:spacing w:val="-1"/>
                <w:sz w:val="19"/>
                <w:szCs w:val="19"/>
              </w:rPr>
              <w:t>轿顶清洁.防护栏安全可靠</w:t>
            </w:r>
          </w:p>
        </w:tc>
        <w:tc>
          <w:tcPr>
            <w:tcW w:w="560" w:type="dxa"/>
            <w:vAlign w:val="top"/>
          </w:tcPr>
          <w:p w14:paraId="72FFA957">
            <w:pPr>
              <w:pStyle w:val="20"/>
              <w:spacing w:before="120"/>
              <w:ind w:left="184"/>
              <w:rPr>
                <w:sz w:val="19"/>
                <w:szCs w:val="19"/>
              </w:rPr>
            </w:pPr>
            <w:r>
              <w:rPr>
                <w:spacing w:val="-3"/>
                <w:sz w:val="19"/>
                <w:szCs w:val="19"/>
              </w:rPr>
              <w:t>35</w:t>
            </w:r>
          </w:p>
        </w:tc>
        <w:tc>
          <w:tcPr>
            <w:tcW w:w="3571" w:type="dxa"/>
            <w:vAlign w:val="top"/>
          </w:tcPr>
          <w:p w14:paraId="33E4C22B">
            <w:pPr>
              <w:pStyle w:val="20"/>
              <w:spacing w:before="101" w:line="219" w:lineRule="auto"/>
              <w:ind w:left="95"/>
              <w:rPr>
                <w:sz w:val="19"/>
                <w:szCs w:val="19"/>
              </w:rPr>
            </w:pPr>
            <w:r>
              <w:rPr>
                <w:spacing w:val="-1"/>
                <w:sz w:val="19"/>
                <w:szCs w:val="19"/>
              </w:rPr>
              <w:t>选层器动静触点清洁，无烧蚀</w:t>
            </w:r>
          </w:p>
        </w:tc>
      </w:tr>
      <w:tr w14:paraId="44C7E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584" w:type="dxa"/>
            <w:vAlign w:val="top"/>
          </w:tcPr>
          <w:p w14:paraId="3AD64E60">
            <w:pPr>
              <w:pStyle w:val="20"/>
              <w:spacing w:before="200" w:line="241" w:lineRule="auto"/>
              <w:ind w:left="195"/>
              <w:rPr>
                <w:sz w:val="18"/>
                <w:szCs w:val="18"/>
              </w:rPr>
            </w:pPr>
            <w:r>
              <w:rPr>
                <w:spacing w:val="-6"/>
                <w:sz w:val="18"/>
                <w:szCs w:val="18"/>
              </w:rPr>
              <w:t>12</w:t>
            </w:r>
          </w:p>
        </w:tc>
        <w:tc>
          <w:tcPr>
            <w:tcW w:w="4226" w:type="dxa"/>
            <w:vAlign w:val="top"/>
          </w:tcPr>
          <w:p w14:paraId="0A99E3B7">
            <w:pPr>
              <w:pStyle w:val="20"/>
              <w:spacing w:before="182" w:line="219" w:lineRule="auto"/>
              <w:ind w:left="91"/>
              <w:rPr>
                <w:sz w:val="19"/>
                <w:szCs w:val="19"/>
              </w:rPr>
            </w:pPr>
            <w:r>
              <w:rPr>
                <w:spacing w:val="-1"/>
                <w:sz w:val="19"/>
                <w:szCs w:val="19"/>
              </w:rPr>
              <w:t>轿顶检修开关、停止装置工作正常</w:t>
            </w:r>
          </w:p>
        </w:tc>
        <w:tc>
          <w:tcPr>
            <w:tcW w:w="560" w:type="dxa"/>
            <w:vMerge w:val="restart"/>
            <w:tcBorders>
              <w:bottom w:val="nil"/>
            </w:tcBorders>
            <w:vAlign w:val="top"/>
          </w:tcPr>
          <w:p w14:paraId="1481286B">
            <w:pPr>
              <w:spacing w:line="458" w:lineRule="auto"/>
              <w:rPr>
                <w:rFonts w:ascii="Arial"/>
                <w:sz w:val="19"/>
                <w:szCs w:val="19"/>
              </w:rPr>
            </w:pPr>
          </w:p>
          <w:p w14:paraId="30C8CAB7">
            <w:pPr>
              <w:pStyle w:val="20"/>
              <w:spacing w:before="59"/>
              <w:ind w:left="184"/>
              <w:rPr>
                <w:sz w:val="19"/>
                <w:szCs w:val="19"/>
              </w:rPr>
            </w:pPr>
            <w:r>
              <w:rPr>
                <w:spacing w:val="-3"/>
                <w:sz w:val="19"/>
                <w:szCs w:val="19"/>
              </w:rPr>
              <w:t>36</w:t>
            </w:r>
          </w:p>
        </w:tc>
        <w:tc>
          <w:tcPr>
            <w:tcW w:w="3571" w:type="dxa"/>
            <w:vMerge w:val="restart"/>
            <w:tcBorders>
              <w:bottom w:val="nil"/>
            </w:tcBorders>
            <w:vAlign w:val="top"/>
          </w:tcPr>
          <w:p w14:paraId="52637EC8">
            <w:pPr>
              <w:spacing w:line="271" w:lineRule="auto"/>
              <w:rPr>
                <w:rFonts w:ascii="Arial"/>
                <w:sz w:val="19"/>
                <w:szCs w:val="19"/>
              </w:rPr>
            </w:pPr>
          </w:p>
          <w:p w14:paraId="3F3E8788">
            <w:pPr>
              <w:pStyle w:val="20"/>
              <w:spacing w:before="59" w:line="279" w:lineRule="auto"/>
              <w:ind w:left="95" w:firstLine="19"/>
              <w:rPr>
                <w:sz w:val="19"/>
                <w:szCs w:val="19"/>
              </w:rPr>
            </w:pPr>
            <w:r>
              <w:rPr>
                <w:spacing w:val="-16"/>
                <w:sz w:val="19"/>
                <w:szCs w:val="19"/>
              </w:rPr>
              <w:t>曳引轮槽、悬挂装置清洁，钢丝绳无严重油腻，张力均匀，</w:t>
            </w:r>
            <w:r>
              <w:rPr>
                <w:spacing w:val="16"/>
                <w:sz w:val="19"/>
                <w:szCs w:val="19"/>
              </w:rPr>
              <w:t xml:space="preserve"> </w:t>
            </w:r>
            <w:r>
              <w:rPr>
                <w:spacing w:val="-5"/>
                <w:sz w:val="19"/>
                <w:szCs w:val="19"/>
              </w:rPr>
              <w:t>符合制造单位要求</w:t>
            </w:r>
          </w:p>
        </w:tc>
      </w:tr>
      <w:tr w14:paraId="54FA1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584" w:type="dxa"/>
            <w:vAlign w:val="top"/>
          </w:tcPr>
          <w:p w14:paraId="638D838D">
            <w:pPr>
              <w:pStyle w:val="20"/>
              <w:spacing w:before="250"/>
              <w:ind w:left="195"/>
              <w:rPr>
                <w:sz w:val="18"/>
                <w:szCs w:val="18"/>
              </w:rPr>
            </w:pPr>
            <w:r>
              <w:rPr>
                <w:spacing w:val="-6"/>
                <w:sz w:val="18"/>
                <w:szCs w:val="18"/>
              </w:rPr>
              <w:t>13</w:t>
            </w:r>
          </w:p>
        </w:tc>
        <w:tc>
          <w:tcPr>
            <w:tcW w:w="4226" w:type="dxa"/>
            <w:vAlign w:val="top"/>
          </w:tcPr>
          <w:p w14:paraId="2F17FEF3">
            <w:pPr>
              <w:pStyle w:val="20"/>
              <w:spacing w:before="112" w:line="219" w:lineRule="auto"/>
              <w:ind w:left="91"/>
              <w:rPr>
                <w:sz w:val="19"/>
                <w:szCs w:val="19"/>
              </w:rPr>
            </w:pPr>
            <w:r>
              <w:rPr>
                <w:sz w:val="19"/>
                <w:szCs w:val="19"/>
              </w:rPr>
              <w:t>导靴上油杯吸油毛毡齐全，油量适宜，油杯无泄漏</w:t>
            </w:r>
          </w:p>
        </w:tc>
        <w:tc>
          <w:tcPr>
            <w:tcW w:w="560" w:type="dxa"/>
            <w:vMerge w:val="continue"/>
            <w:tcBorders>
              <w:top w:val="nil"/>
            </w:tcBorders>
            <w:vAlign w:val="top"/>
          </w:tcPr>
          <w:p w14:paraId="5A019565">
            <w:pPr>
              <w:rPr>
                <w:rFonts w:ascii="Arial"/>
                <w:sz w:val="19"/>
                <w:szCs w:val="19"/>
              </w:rPr>
            </w:pPr>
          </w:p>
        </w:tc>
        <w:tc>
          <w:tcPr>
            <w:tcW w:w="3571" w:type="dxa"/>
            <w:vMerge w:val="continue"/>
            <w:tcBorders>
              <w:top w:val="nil"/>
            </w:tcBorders>
            <w:vAlign w:val="top"/>
          </w:tcPr>
          <w:p w14:paraId="0845BD09">
            <w:pPr>
              <w:rPr>
                <w:rFonts w:ascii="Arial"/>
                <w:sz w:val="19"/>
                <w:szCs w:val="19"/>
              </w:rPr>
            </w:pPr>
          </w:p>
        </w:tc>
      </w:tr>
      <w:tr w14:paraId="753B4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84" w:type="dxa"/>
            <w:vAlign w:val="top"/>
          </w:tcPr>
          <w:p w14:paraId="53E66D2D">
            <w:pPr>
              <w:pStyle w:val="20"/>
              <w:spacing w:before="142" w:line="241" w:lineRule="auto"/>
              <w:ind w:left="195"/>
              <w:rPr>
                <w:sz w:val="18"/>
                <w:szCs w:val="18"/>
              </w:rPr>
            </w:pPr>
            <w:r>
              <w:rPr>
                <w:spacing w:val="-6"/>
                <w:sz w:val="18"/>
                <w:szCs w:val="18"/>
              </w:rPr>
              <w:t>14</w:t>
            </w:r>
          </w:p>
        </w:tc>
        <w:tc>
          <w:tcPr>
            <w:tcW w:w="4226" w:type="dxa"/>
            <w:vAlign w:val="top"/>
          </w:tcPr>
          <w:p w14:paraId="5927B306">
            <w:pPr>
              <w:pStyle w:val="20"/>
              <w:spacing w:before="123" w:line="219" w:lineRule="auto"/>
              <w:ind w:left="91"/>
              <w:rPr>
                <w:sz w:val="19"/>
                <w:szCs w:val="19"/>
              </w:rPr>
            </w:pPr>
            <w:r>
              <w:rPr>
                <w:sz w:val="19"/>
                <w:szCs w:val="19"/>
              </w:rPr>
              <w:t>对重/平衡重块及其压板无松动，压板紧固</w:t>
            </w:r>
          </w:p>
        </w:tc>
        <w:tc>
          <w:tcPr>
            <w:tcW w:w="560" w:type="dxa"/>
            <w:vAlign w:val="top"/>
          </w:tcPr>
          <w:p w14:paraId="68D17FB7">
            <w:pPr>
              <w:pStyle w:val="20"/>
              <w:spacing w:before="142"/>
              <w:ind w:left="184"/>
              <w:rPr>
                <w:sz w:val="19"/>
                <w:szCs w:val="19"/>
              </w:rPr>
            </w:pPr>
            <w:r>
              <w:rPr>
                <w:spacing w:val="-3"/>
                <w:sz w:val="19"/>
                <w:szCs w:val="19"/>
              </w:rPr>
              <w:t>37</w:t>
            </w:r>
          </w:p>
        </w:tc>
        <w:tc>
          <w:tcPr>
            <w:tcW w:w="3571" w:type="dxa"/>
            <w:vAlign w:val="top"/>
          </w:tcPr>
          <w:p w14:paraId="74282A32">
            <w:pPr>
              <w:pStyle w:val="20"/>
              <w:spacing w:before="124" w:line="219" w:lineRule="auto"/>
              <w:ind w:left="95"/>
              <w:rPr>
                <w:sz w:val="19"/>
                <w:szCs w:val="19"/>
              </w:rPr>
            </w:pPr>
            <w:r>
              <w:rPr>
                <w:sz w:val="19"/>
                <w:szCs w:val="19"/>
              </w:rPr>
              <w:t>限速器轮槽、限速器钢丝绳清洁，无严重油腻</w:t>
            </w:r>
          </w:p>
        </w:tc>
      </w:tr>
      <w:tr w14:paraId="3689F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84" w:type="dxa"/>
            <w:vAlign w:val="top"/>
          </w:tcPr>
          <w:p w14:paraId="78589744">
            <w:pPr>
              <w:pStyle w:val="20"/>
              <w:spacing w:before="92" w:line="223" w:lineRule="auto"/>
              <w:ind w:left="195"/>
              <w:rPr>
                <w:sz w:val="18"/>
                <w:szCs w:val="18"/>
              </w:rPr>
            </w:pPr>
            <w:r>
              <w:rPr>
                <w:spacing w:val="-6"/>
                <w:sz w:val="18"/>
                <w:szCs w:val="18"/>
              </w:rPr>
              <w:t>15</w:t>
            </w:r>
          </w:p>
        </w:tc>
        <w:tc>
          <w:tcPr>
            <w:tcW w:w="4226" w:type="dxa"/>
            <w:vAlign w:val="top"/>
          </w:tcPr>
          <w:p w14:paraId="104EA475">
            <w:pPr>
              <w:pStyle w:val="20"/>
              <w:spacing w:before="74" w:line="219" w:lineRule="auto"/>
              <w:ind w:left="91"/>
              <w:rPr>
                <w:sz w:val="19"/>
                <w:szCs w:val="19"/>
              </w:rPr>
            </w:pPr>
            <w:r>
              <w:rPr>
                <w:spacing w:val="-1"/>
                <w:sz w:val="19"/>
                <w:szCs w:val="19"/>
              </w:rPr>
              <w:t>井道照明齐全，正常</w:t>
            </w:r>
          </w:p>
        </w:tc>
        <w:tc>
          <w:tcPr>
            <w:tcW w:w="560" w:type="dxa"/>
            <w:vAlign w:val="top"/>
          </w:tcPr>
          <w:p w14:paraId="4424B788">
            <w:pPr>
              <w:pStyle w:val="20"/>
              <w:spacing w:before="92" w:line="223" w:lineRule="auto"/>
              <w:ind w:left="184"/>
              <w:rPr>
                <w:sz w:val="19"/>
                <w:szCs w:val="19"/>
              </w:rPr>
            </w:pPr>
            <w:r>
              <w:rPr>
                <w:spacing w:val="-3"/>
                <w:sz w:val="19"/>
                <w:szCs w:val="19"/>
              </w:rPr>
              <w:t>38</w:t>
            </w:r>
          </w:p>
        </w:tc>
        <w:tc>
          <w:tcPr>
            <w:tcW w:w="3571" w:type="dxa"/>
            <w:vAlign w:val="top"/>
          </w:tcPr>
          <w:p w14:paraId="51220477">
            <w:pPr>
              <w:pStyle w:val="20"/>
              <w:spacing w:before="74" w:line="219" w:lineRule="auto"/>
              <w:ind w:left="95"/>
              <w:rPr>
                <w:sz w:val="19"/>
                <w:szCs w:val="19"/>
              </w:rPr>
            </w:pPr>
            <w:r>
              <w:rPr>
                <w:spacing w:val="-1"/>
                <w:sz w:val="19"/>
                <w:szCs w:val="19"/>
              </w:rPr>
              <w:t>靴衬、滚轮清洁，磨损量不超过制造单位要求</w:t>
            </w:r>
          </w:p>
        </w:tc>
      </w:tr>
      <w:tr w14:paraId="5A2F6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84" w:type="dxa"/>
            <w:vAlign w:val="top"/>
          </w:tcPr>
          <w:p w14:paraId="7A116EC6">
            <w:pPr>
              <w:pStyle w:val="20"/>
              <w:spacing w:before="92" w:line="223" w:lineRule="auto"/>
              <w:ind w:left="195"/>
              <w:rPr>
                <w:sz w:val="18"/>
                <w:szCs w:val="18"/>
              </w:rPr>
            </w:pPr>
            <w:r>
              <w:rPr>
                <w:spacing w:val="-6"/>
                <w:sz w:val="18"/>
                <w:szCs w:val="18"/>
              </w:rPr>
              <w:t>16</w:t>
            </w:r>
          </w:p>
        </w:tc>
        <w:tc>
          <w:tcPr>
            <w:tcW w:w="4226" w:type="dxa"/>
            <w:vAlign w:val="top"/>
          </w:tcPr>
          <w:p w14:paraId="1715ECAB">
            <w:pPr>
              <w:pStyle w:val="20"/>
              <w:spacing w:before="74" w:line="219" w:lineRule="auto"/>
              <w:ind w:left="91"/>
              <w:rPr>
                <w:sz w:val="19"/>
                <w:szCs w:val="19"/>
              </w:rPr>
            </w:pPr>
            <w:r>
              <w:rPr>
                <w:spacing w:val="-1"/>
                <w:sz w:val="19"/>
                <w:szCs w:val="19"/>
              </w:rPr>
              <w:t>轿厢照明、风扇、应急照明工作正常</w:t>
            </w:r>
          </w:p>
        </w:tc>
        <w:tc>
          <w:tcPr>
            <w:tcW w:w="560" w:type="dxa"/>
            <w:vAlign w:val="top"/>
          </w:tcPr>
          <w:p w14:paraId="6C4CB83A">
            <w:pPr>
              <w:pStyle w:val="20"/>
              <w:spacing w:before="92" w:line="223" w:lineRule="auto"/>
              <w:ind w:left="184"/>
              <w:rPr>
                <w:sz w:val="19"/>
                <w:szCs w:val="19"/>
              </w:rPr>
            </w:pPr>
            <w:r>
              <w:rPr>
                <w:spacing w:val="-3"/>
                <w:sz w:val="19"/>
                <w:szCs w:val="19"/>
              </w:rPr>
              <w:t>39</w:t>
            </w:r>
          </w:p>
        </w:tc>
        <w:tc>
          <w:tcPr>
            <w:tcW w:w="3571" w:type="dxa"/>
            <w:vAlign w:val="top"/>
          </w:tcPr>
          <w:p w14:paraId="3609E652">
            <w:pPr>
              <w:pStyle w:val="20"/>
              <w:spacing w:before="75" w:line="220" w:lineRule="auto"/>
              <w:ind w:left="95"/>
              <w:rPr>
                <w:sz w:val="19"/>
                <w:szCs w:val="19"/>
              </w:rPr>
            </w:pPr>
            <w:r>
              <w:rPr>
                <w:spacing w:val="-1"/>
                <w:sz w:val="19"/>
                <w:szCs w:val="19"/>
              </w:rPr>
              <w:t>验证轿门关闭的电气安全装置工作正常</w:t>
            </w:r>
          </w:p>
        </w:tc>
      </w:tr>
      <w:tr w14:paraId="350F6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84" w:type="dxa"/>
            <w:vAlign w:val="top"/>
          </w:tcPr>
          <w:p w14:paraId="3C175B18">
            <w:pPr>
              <w:pStyle w:val="20"/>
              <w:spacing w:before="141"/>
              <w:ind w:left="195"/>
              <w:rPr>
                <w:sz w:val="18"/>
                <w:szCs w:val="18"/>
              </w:rPr>
            </w:pPr>
            <w:r>
              <w:rPr>
                <w:spacing w:val="-6"/>
                <w:sz w:val="18"/>
                <w:szCs w:val="18"/>
              </w:rPr>
              <w:t>17</w:t>
            </w:r>
          </w:p>
        </w:tc>
        <w:tc>
          <w:tcPr>
            <w:tcW w:w="4226" w:type="dxa"/>
            <w:vAlign w:val="top"/>
          </w:tcPr>
          <w:p w14:paraId="2015EF64">
            <w:pPr>
              <w:pStyle w:val="20"/>
              <w:spacing w:before="124" w:line="219" w:lineRule="auto"/>
              <w:ind w:left="91"/>
              <w:rPr>
                <w:sz w:val="19"/>
                <w:szCs w:val="19"/>
              </w:rPr>
            </w:pPr>
            <w:r>
              <w:rPr>
                <w:spacing w:val="-1"/>
                <w:sz w:val="19"/>
                <w:szCs w:val="19"/>
              </w:rPr>
              <w:t>轿厢检修开关、停止装置工作正常</w:t>
            </w:r>
          </w:p>
        </w:tc>
        <w:tc>
          <w:tcPr>
            <w:tcW w:w="560" w:type="dxa"/>
            <w:vMerge w:val="restart"/>
            <w:tcBorders>
              <w:bottom w:val="nil"/>
            </w:tcBorders>
            <w:vAlign w:val="top"/>
          </w:tcPr>
          <w:p w14:paraId="62357E97">
            <w:pPr>
              <w:spacing w:line="291" w:lineRule="auto"/>
              <w:rPr>
                <w:rFonts w:ascii="Arial"/>
                <w:sz w:val="19"/>
                <w:szCs w:val="19"/>
              </w:rPr>
            </w:pPr>
          </w:p>
          <w:p w14:paraId="5E0DF075">
            <w:pPr>
              <w:pStyle w:val="20"/>
              <w:spacing w:before="59"/>
              <w:ind w:left="184"/>
              <w:rPr>
                <w:sz w:val="19"/>
                <w:szCs w:val="19"/>
              </w:rPr>
            </w:pPr>
            <w:r>
              <w:rPr>
                <w:spacing w:val="-2"/>
                <w:sz w:val="19"/>
                <w:szCs w:val="19"/>
              </w:rPr>
              <w:t>40</w:t>
            </w:r>
          </w:p>
        </w:tc>
        <w:tc>
          <w:tcPr>
            <w:tcW w:w="3571" w:type="dxa"/>
            <w:vMerge w:val="restart"/>
            <w:tcBorders>
              <w:bottom w:val="nil"/>
            </w:tcBorders>
            <w:vAlign w:val="top"/>
          </w:tcPr>
          <w:p w14:paraId="340ECA07">
            <w:pPr>
              <w:pStyle w:val="20"/>
              <w:spacing w:before="184" w:line="270" w:lineRule="auto"/>
              <w:ind w:left="95" w:right="135" w:firstLine="9"/>
              <w:rPr>
                <w:sz w:val="19"/>
                <w:szCs w:val="19"/>
              </w:rPr>
            </w:pPr>
            <w:r>
              <w:rPr>
                <w:sz w:val="19"/>
                <w:szCs w:val="19"/>
              </w:rPr>
              <w:t>层门、轿门系统中传动钢丝绳、链条、传动带按照制</w:t>
            </w:r>
            <w:r>
              <w:rPr>
                <w:spacing w:val="14"/>
                <w:sz w:val="19"/>
                <w:szCs w:val="19"/>
              </w:rPr>
              <w:t xml:space="preserve"> </w:t>
            </w:r>
            <w:r>
              <w:rPr>
                <w:spacing w:val="-1"/>
                <w:sz w:val="19"/>
                <w:szCs w:val="19"/>
              </w:rPr>
              <w:t>造单位要求进行清洁、调整</w:t>
            </w:r>
          </w:p>
        </w:tc>
      </w:tr>
      <w:tr w14:paraId="52257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584" w:type="dxa"/>
            <w:vAlign w:val="top"/>
          </w:tcPr>
          <w:p w14:paraId="26BD0C19">
            <w:pPr>
              <w:pStyle w:val="20"/>
              <w:spacing w:before="142"/>
              <w:ind w:left="195"/>
              <w:rPr>
                <w:sz w:val="18"/>
                <w:szCs w:val="18"/>
              </w:rPr>
            </w:pPr>
            <w:r>
              <w:rPr>
                <w:spacing w:val="-6"/>
                <w:sz w:val="18"/>
                <w:szCs w:val="18"/>
              </w:rPr>
              <w:t>18</w:t>
            </w:r>
          </w:p>
        </w:tc>
        <w:tc>
          <w:tcPr>
            <w:tcW w:w="4226" w:type="dxa"/>
            <w:vAlign w:val="top"/>
          </w:tcPr>
          <w:p w14:paraId="4BA0629F">
            <w:pPr>
              <w:pStyle w:val="20"/>
              <w:spacing w:before="124" w:line="219" w:lineRule="auto"/>
              <w:ind w:left="91"/>
              <w:rPr>
                <w:sz w:val="19"/>
                <w:szCs w:val="19"/>
              </w:rPr>
            </w:pPr>
            <w:r>
              <w:rPr>
                <w:spacing w:val="-1"/>
                <w:sz w:val="19"/>
                <w:szCs w:val="19"/>
              </w:rPr>
              <w:t>轿内报警装置、对讲系统工作正常</w:t>
            </w:r>
          </w:p>
        </w:tc>
        <w:tc>
          <w:tcPr>
            <w:tcW w:w="560" w:type="dxa"/>
            <w:vMerge w:val="continue"/>
            <w:tcBorders>
              <w:top w:val="nil"/>
            </w:tcBorders>
            <w:vAlign w:val="top"/>
          </w:tcPr>
          <w:p w14:paraId="7915FDE1">
            <w:pPr>
              <w:rPr>
                <w:rFonts w:ascii="Arial"/>
                <w:sz w:val="19"/>
                <w:szCs w:val="19"/>
              </w:rPr>
            </w:pPr>
          </w:p>
        </w:tc>
        <w:tc>
          <w:tcPr>
            <w:tcW w:w="3571" w:type="dxa"/>
            <w:vMerge w:val="continue"/>
            <w:tcBorders>
              <w:top w:val="nil"/>
            </w:tcBorders>
            <w:vAlign w:val="top"/>
          </w:tcPr>
          <w:p w14:paraId="55BABC1F">
            <w:pPr>
              <w:rPr>
                <w:rFonts w:ascii="Arial"/>
                <w:sz w:val="19"/>
                <w:szCs w:val="19"/>
              </w:rPr>
            </w:pPr>
          </w:p>
        </w:tc>
      </w:tr>
      <w:tr w14:paraId="1B960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584" w:type="dxa"/>
            <w:vAlign w:val="top"/>
          </w:tcPr>
          <w:p w14:paraId="5AB2D042">
            <w:pPr>
              <w:pStyle w:val="20"/>
              <w:spacing w:before="151"/>
              <w:ind w:left="195"/>
              <w:rPr>
                <w:sz w:val="18"/>
                <w:szCs w:val="18"/>
              </w:rPr>
            </w:pPr>
            <w:r>
              <w:rPr>
                <w:spacing w:val="-6"/>
                <w:sz w:val="18"/>
                <w:szCs w:val="18"/>
              </w:rPr>
              <w:t>19</w:t>
            </w:r>
          </w:p>
        </w:tc>
        <w:tc>
          <w:tcPr>
            <w:tcW w:w="4226" w:type="dxa"/>
            <w:vAlign w:val="top"/>
          </w:tcPr>
          <w:p w14:paraId="7538A6C0">
            <w:pPr>
              <w:pStyle w:val="20"/>
              <w:spacing w:before="133" w:line="219" w:lineRule="auto"/>
              <w:ind w:left="91"/>
              <w:rPr>
                <w:sz w:val="19"/>
                <w:szCs w:val="19"/>
              </w:rPr>
            </w:pPr>
            <w:r>
              <w:rPr>
                <w:spacing w:val="-1"/>
                <w:sz w:val="19"/>
                <w:szCs w:val="19"/>
              </w:rPr>
              <w:t>轿内显示、指令按钮、Ic卡系统齐全，有效</w:t>
            </w:r>
          </w:p>
        </w:tc>
        <w:tc>
          <w:tcPr>
            <w:tcW w:w="560" w:type="dxa"/>
            <w:vAlign w:val="top"/>
          </w:tcPr>
          <w:p w14:paraId="239E0C88">
            <w:pPr>
              <w:pStyle w:val="20"/>
              <w:spacing w:before="152" w:line="241" w:lineRule="auto"/>
              <w:ind w:left="184"/>
              <w:rPr>
                <w:sz w:val="19"/>
                <w:szCs w:val="19"/>
              </w:rPr>
            </w:pPr>
            <w:r>
              <w:rPr>
                <w:spacing w:val="-2"/>
                <w:sz w:val="19"/>
                <w:szCs w:val="19"/>
              </w:rPr>
              <w:t>41</w:t>
            </w:r>
          </w:p>
        </w:tc>
        <w:tc>
          <w:tcPr>
            <w:tcW w:w="3571" w:type="dxa"/>
            <w:vAlign w:val="top"/>
          </w:tcPr>
          <w:p w14:paraId="00AE5C1B">
            <w:pPr>
              <w:pStyle w:val="20"/>
              <w:spacing w:before="134" w:line="219" w:lineRule="auto"/>
              <w:ind w:left="95"/>
              <w:rPr>
                <w:sz w:val="19"/>
                <w:szCs w:val="19"/>
              </w:rPr>
            </w:pPr>
            <w:r>
              <w:rPr>
                <w:spacing w:val="-1"/>
                <w:sz w:val="19"/>
                <w:szCs w:val="19"/>
              </w:rPr>
              <w:t>层门门导靴磨损量不超过制造单位要求</w:t>
            </w:r>
          </w:p>
        </w:tc>
      </w:tr>
      <w:tr w14:paraId="3524B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584" w:type="dxa"/>
            <w:vAlign w:val="top"/>
          </w:tcPr>
          <w:p w14:paraId="7EAF0529">
            <w:pPr>
              <w:pStyle w:val="20"/>
              <w:spacing w:before="241"/>
              <w:ind w:left="195"/>
              <w:rPr>
                <w:sz w:val="18"/>
                <w:szCs w:val="18"/>
              </w:rPr>
            </w:pPr>
            <w:r>
              <w:rPr>
                <w:spacing w:val="-3"/>
                <w:sz w:val="18"/>
                <w:szCs w:val="18"/>
              </w:rPr>
              <w:t>20</w:t>
            </w:r>
          </w:p>
        </w:tc>
        <w:tc>
          <w:tcPr>
            <w:tcW w:w="4226" w:type="dxa"/>
            <w:vAlign w:val="top"/>
          </w:tcPr>
          <w:p w14:paraId="3ECCD119">
            <w:pPr>
              <w:pStyle w:val="20"/>
              <w:spacing w:before="113" w:line="219" w:lineRule="auto"/>
              <w:ind w:left="91" w:right="105" w:firstLine="19"/>
              <w:rPr>
                <w:sz w:val="19"/>
                <w:szCs w:val="19"/>
              </w:rPr>
            </w:pPr>
            <w:r>
              <w:rPr>
                <w:spacing w:val="1"/>
                <w:sz w:val="19"/>
                <w:szCs w:val="19"/>
              </w:rPr>
              <w:t>轿门防撞击保护装置，(安全触板、光幕、光电等)</w:t>
            </w:r>
            <w:r>
              <w:rPr>
                <w:spacing w:val="15"/>
                <w:sz w:val="19"/>
                <w:szCs w:val="19"/>
              </w:rPr>
              <w:t xml:space="preserve"> </w:t>
            </w:r>
            <w:r>
              <w:rPr>
                <w:spacing w:val="-2"/>
                <w:sz w:val="19"/>
                <w:szCs w:val="19"/>
              </w:rPr>
              <w:t>功能有效</w:t>
            </w:r>
          </w:p>
        </w:tc>
        <w:tc>
          <w:tcPr>
            <w:tcW w:w="560" w:type="dxa"/>
            <w:vAlign w:val="top"/>
          </w:tcPr>
          <w:p w14:paraId="1B11DFA0">
            <w:pPr>
              <w:pStyle w:val="20"/>
              <w:spacing w:before="242" w:line="241" w:lineRule="auto"/>
              <w:ind w:left="184"/>
              <w:rPr>
                <w:sz w:val="19"/>
                <w:szCs w:val="19"/>
              </w:rPr>
            </w:pPr>
            <w:r>
              <w:rPr>
                <w:spacing w:val="-2"/>
                <w:sz w:val="19"/>
                <w:szCs w:val="19"/>
              </w:rPr>
              <w:t>42</w:t>
            </w:r>
          </w:p>
        </w:tc>
        <w:tc>
          <w:tcPr>
            <w:tcW w:w="3571" w:type="dxa"/>
            <w:vAlign w:val="top"/>
          </w:tcPr>
          <w:p w14:paraId="2B9E91FE">
            <w:pPr>
              <w:pStyle w:val="20"/>
              <w:spacing w:before="224" w:line="220" w:lineRule="auto"/>
              <w:ind w:left="95"/>
              <w:rPr>
                <w:sz w:val="19"/>
                <w:szCs w:val="19"/>
              </w:rPr>
            </w:pPr>
            <w:r>
              <w:rPr>
                <w:spacing w:val="-1"/>
                <w:sz w:val="19"/>
                <w:szCs w:val="19"/>
              </w:rPr>
              <w:t>消防开关工作正常，功能有效</w:t>
            </w:r>
          </w:p>
        </w:tc>
      </w:tr>
      <w:tr w14:paraId="1B2EA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584" w:type="dxa"/>
            <w:vAlign w:val="top"/>
          </w:tcPr>
          <w:p w14:paraId="51F35D4A">
            <w:pPr>
              <w:pStyle w:val="20"/>
              <w:spacing w:before="243" w:line="241" w:lineRule="auto"/>
              <w:ind w:left="195"/>
              <w:rPr>
                <w:sz w:val="18"/>
                <w:szCs w:val="18"/>
              </w:rPr>
            </w:pPr>
            <w:r>
              <w:rPr>
                <w:spacing w:val="-3"/>
                <w:sz w:val="18"/>
                <w:szCs w:val="18"/>
              </w:rPr>
              <w:t>21</w:t>
            </w:r>
          </w:p>
        </w:tc>
        <w:tc>
          <w:tcPr>
            <w:tcW w:w="4226" w:type="dxa"/>
            <w:vAlign w:val="top"/>
          </w:tcPr>
          <w:p w14:paraId="63F85CEA">
            <w:pPr>
              <w:pStyle w:val="20"/>
              <w:spacing w:before="75" w:line="219" w:lineRule="auto"/>
              <w:ind w:left="91"/>
              <w:rPr>
                <w:sz w:val="19"/>
                <w:szCs w:val="19"/>
              </w:rPr>
            </w:pPr>
            <w:r>
              <w:rPr>
                <w:spacing w:val="-1"/>
                <w:sz w:val="19"/>
                <w:szCs w:val="19"/>
              </w:rPr>
              <w:t>轿门门锁电气触点清洁，触点接触良好，接线可靠</w:t>
            </w:r>
          </w:p>
        </w:tc>
        <w:tc>
          <w:tcPr>
            <w:tcW w:w="560" w:type="dxa"/>
            <w:vAlign w:val="top"/>
          </w:tcPr>
          <w:p w14:paraId="45579954">
            <w:pPr>
              <w:pStyle w:val="20"/>
              <w:spacing w:before="242"/>
              <w:ind w:left="184"/>
              <w:rPr>
                <w:sz w:val="19"/>
                <w:szCs w:val="19"/>
              </w:rPr>
            </w:pPr>
            <w:r>
              <w:rPr>
                <w:spacing w:val="-2"/>
                <w:sz w:val="19"/>
                <w:szCs w:val="19"/>
              </w:rPr>
              <w:t>43</w:t>
            </w:r>
          </w:p>
        </w:tc>
        <w:tc>
          <w:tcPr>
            <w:tcW w:w="3571" w:type="dxa"/>
            <w:vAlign w:val="top"/>
          </w:tcPr>
          <w:p w14:paraId="4A756EB6">
            <w:pPr>
              <w:pStyle w:val="20"/>
              <w:spacing w:before="95" w:line="242" w:lineRule="auto"/>
              <w:ind w:left="95" w:firstLine="29"/>
              <w:rPr>
                <w:sz w:val="19"/>
                <w:szCs w:val="19"/>
              </w:rPr>
            </w:pPr>
            <w:r>
              <w:rPr>
                <w:spacing w:val="-9"/>
                <w:sz w:val="19"/>
                <w:szCs w:val="19"/>
              </w:rPr>
              <w:t>耗能缓冲器电气安全装置功能有效，油量适宜</w:t>
            </w:r>
            <w:r>
              <w:rPr>
                <w:spacing w:val="-10"/>
                <w:sz w:val="19"/>
                <w:szCs w:val="19"/>
              </w:rPr>
              <w:t>，柱塞无锈</w:t>
            </w:r>
            <w:r>
              <w:rPr>
                <w:sz w:val="19"/>
                <w:szCs w:val="19"/>
              </w:rPr>
              <w:t xml:space="preserve"> 蚀</w:t>
            </w:r>
          </w:p>
        </w:tc>
      </w:tr>
      <w:tr w14:paraId="59288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84" w:type="dxa"/>
            <w:vAlign w:val="top"/>
          </w:tcPr>
          <w:p w14:paraId="7F37A08C">
            <w:pPr>
              <w:pStyle w:val="20"/>
              <w:spacing w:before="104" w:line="221" w:lineRule="auto"/>
              <w:ind w:left="195"/>
              <w:rPr>
                <w:sz w:val="18"/>
                <w:szCs w:val="18"/>
              </w:rPr>
            </w:pPr>
            <w:r>
              <w:rPr>
                <w:spacing w:val="-3"/>
                <w:sz w:val="18"/>
                <w:szCs w:val="18"/>
              </w:rPr>
              <w:t>22</w:t>
            </w:r>
          </w:p>
        </w:tc>
        <w:tc>
          <w:tcPr>
            <w:tcW w:w="4226" w:type="dxa"/>
            <w:vAlign w:val="top"/>
          </w:tcPr>
          <w:p w14:paraId="496CD399">
            <w:pPr>
              <w:pStyle w:val="20"/>
              <w:spacing w:before="87" w:line="220" w:lineRule="auto"/>
              <w:ind w:left="91"/>
              <w:rPr>
                <w:sz w:val="19"/>
                <w:szCs w:val="19"/>
              </w:rPr>
            </w:pPr>
            <w:r>
              <w:rPr>
                <w:spacing w:val="-1"/>
                <w:sz w:val="19"/>
                <w:szCs w:val="19"/>
              </w:rPr>
              <w:t>轿门运行开启和关闭工作正常</w:t>
            </w:r>
          </w:p>
        </w:tc>
        <w:tc>
          <w:tcPr>
            <w:tcW w:w="560" w:type="dxa"/>
            <w:vAlign w:val="top"/>
          </w:tcPr>
          <w:p w14:paraId="21E4031B">
            <w:pPr>
              <w:pStyle w:val="20"/>
              <w:spacing w:before="104" w:line="221" w:lineRule="auto"/>
              <w:ind w:left="184"/>
              <w:rPr>
                <w:sz w:val="19"/>
                <w:szCs w:val="19"/>
              </w:rPr>
            </w:pPr>
            <w:r>
              <w:rPr>
                <w:spacing w:val="-2"/>
                <w:sz w:val="19"/>
                <w:szCs w:val="19"/>
              </w:rPr>
              <w:t>44</w:t>
            </w:r>
          </w:p>
        </w:tc>
        <w:tc>
          <w:tcPr>
            <w:tcW w:w="3571" w:type="dxa"/>
            <w:vAlign w:val="top"/>
          </w:tcPr>
          <w:p w14:paraId="66888949">
            <w:pPr>
              <w:pStyle w:val="20"/>
              <w:spacing w:before="86" w:line="219" w:lineRule="auto"/>
              <w:ind w:left="95"/>
              <w:rPr>
                <w:sz w:val="19"/>
                <w:szCs w:val="19"/>
              </w:rPr>
            </w:pPr>
            <w:r>
              <w:rPr>
                <w:sz w:val="19"/>
                <w:szCs w:val="19"/>
              </w:rPr>
              <w:t>限速器张紧轮装置和电气安全装置工作正常</w:t>
            </w:r>
          </w:p>
        </w:tc>
      </w:tr>
      <w:tr w14:paraId="52CA9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584" w:type="dxa"/>
            <w:vAlign w:val="top"/>
          </w:tcPr>
          <w:p w14:paraId="11F23F31">
            <w:pPr>
              <w:pStyle w:val="20"/>
              <w:spacing w:before="243"/>
              <w:ind w:left="195"/>
              <w:rPr>
                <w:sz w:val="18"/>
                <w:szCs w:val="18"/>
              </w:rPr>
            </w:pPr>
            <w:r>
              <w:rPr>
                <w:spacing w:val="-3"/>
                <w:sz w:val="18"/>
                <w:szCs w:val="18"/>
              </w:rPr>
              <w:t>23</w:t>
            </w:r>
          </w:p>
        </w:tc>
        <w:tc>
          <w:tcPr>
            <w:tcW w:w="4226" w:type="dxa"/>
            <w:vAlign w:val="top"/>
          </w:tcPr>
          <w:p w14:paraId="0448656B">
            <w:pPr>
              <w:pStyle w:val="20"/>
              <w:spacing w:before="226" w:line="219" w:lineRule="auto"/>
              <w:ind w:left="91"/>
              <w:rPr>
                <w:sz w:val="19"/>
                <w:szCs w:val="19"/>
              </w:rPr>
            </w:pPr>
            <w:r>
              <w:rPr>
                <w:spacing w:val="-1"/>
                <w:sz w:val="19"/>
                <w:szCs w:val="19"/>
              </w:rPr>
              <w:t>轿厢平层准确度符合标准值</w:t>
            </w:r>
          </w:p>
        </w:tc>
        <w:tc>
          <w:tcPr>
            <w:tcW w:w="560" w:type="dxa"/>
            <w:vAlign w:val="top"/>
          </w:tcPr>
          <w:p w14:paraId="113645F6">
            <w:pPr>
              <w:pStyle w:val="20"/>
              <w:spacing w:before="243"/>
              <w:ind w:left="184"/>
              <w:rPr>
                <w:sz w:val="19"/>
                <w:szCs w:val="19"/>
              </w:rPr>
            </w:pPr>
            <w:r>
              <w:rPr>
                <w:spacing w:val="-2"/>
                <w:sz w:val="19"/>
                <w:szCs w:val="19"/>
              </w:rPr>
              <w:t>45</w:t>
            </w:r>
          </w:p>
        </w:tc>
        <w:tc>
          <w:tcPr>
            <w:tcW w:w="3571" w:type="dxa"/>
            <w:vAlign w:val="top"/>
          </w:tcPr>
          <w:p w14:paraId="50CF4452">
            <w:pPr>
              <w:pStyle w:val="20"/>
              <w:spacing w:before="95" w:line="266" w:lineRule="auto"/>
              <w:ind w:left="95" w:right="157" w:firstLine="9"/>
              <w:rPr>
                <w:sz w:val="19"/>
                <w:szCs w:val="19"/>
              </w:rPr>
            </w:pPr>
            <w:r>
              <w:rPr>
                <w:spacing w:val="-1"/>
                <w:sz w:val="19"/>
                <w:szCs w:val="19"/>
              </w:rPr>
              <w:t>轿厢内安全标识、年检标志、报警说明、厅门锁孔安</w:t>
            </w:r>
            <w:r>
              <w:rPr>
                <w:spacing w:val="14"/>
                <w:sz w:val="19"/>
                <w:szCs w:val="19"/>
              </w:rPr>
              <w:t xml:space="preserve"> </w:t>
            </w:r>
            <w:r>
              <w:rPr>
                <w:spacing w:val="-1"/>
                <w:sz w:val="19"/>
                <w:szCs w:val="19"/>
              </w:rPr>
              <w:t>全标识齐全有效</w:t>
            </w:r>
          </w:p>
        </w:tc>
      </w:tr>
    </w:tbl>
    <w:p w14:paraId="4719E431">
      <w:pPr>
        <w:spacing w:line="600" w:lineRule="exact"/>
        <w:rPr>
          <w:rFonts w:hint="eastAsia" w:ascii="仿宋" w:hAnsi="仿宋" w:eastAsia="仿宋" w:cs="仿宋"/>
          <w:b/>
          <w:bCs/>
          <w:color w:val="333333"/>
          <w:kern w:val="0"/>
          <w:sz w:val="28"/>
          <w:szCs w:val="28"/>
          <w:lang w:val="en-US" w:eastAsia="zh-CN"/>
        </w:rPr>
      </w:pPr>
    </w:p>
    <w:p w14:paraId="04F77052">
      <w:pPr>
        <w:spacing w:line="600" w:lineRule="exact"/>
        <w:ind w:firstLine="643" w:firstLineChars="200"/>
        <w:rPr>
          <w:rFonts w:hint="eastAsia" w:ascii="仿宋_GB2312" w:hAnsi="仿宋_GB2312" w:eastAsia="仿宋_GB2312" w:cs="仿宋_GB2312"/>
          <w:b/>
          <w:bCs/>
          <w:color w:val="333333"/>
          <w:kern w:val="0"/>
          <w:sz w:val="32"/>
          <w:szCs w:val="32"/>
          <w:lang w:val="en-US" w:eastAsia="zh-CN"/>
        </w:rPr>
      </w:pPr>
      <w:r>
        <w:rPr>
          <w:rFonts w:hint="eastAsia" w:ascii="仿宋_GB2312" w:hAnsi="仿宋_GB2312" w:eastAsia="仿宋_GB2312" w:cs="仿宋_GB2312"/>
          <w:b/>
          <w:bCs/>
          <w:color w:val="333333"/>
          <w:kern w:val="0"/>
          <w:sz w:val="32"/>
          <w:szCs w:val="32"/>
          <w:lang w:val="en-US" w:eastAsia="zh-CN"/>
        </w:rPr>
        <w:t>（三）乘客电梯、载货电梯(半年)维护保养项目及要求</w:t>
      </w:r>
    </w:p>
    <w:tbl>
      <w:tblPr>
        <w:tblStyle w:val="21"/>
        <w:tblW w:w="895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5"/>
        <w:gridCol w:w="4196"/>
        <w:gridCol w:w="490"/>
        <w:gridCol w:w="3814"/>
      </w:tblGrid>
      <w:tr w14:paraId="29CFD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455" w:type="dxa"/>
            <w:textDirection w:val="tbRlV"/>
            <w:vAlign w:val="top"/>
          </w:tcPr>
          <w:p w14:paraId="719CD02C">
            <w:pPr>
              <w:pStyle w:val="20"/>
              <w:spacing w:before="150" w:line="199" w:lineRule="auto"/>
              <w:ind w:left="45"/>
              <w:rPr>
                <w:sz w:val="18"/>
                <w:szCs w:val="18"/>
              </w:rPr>
            </w:pPr>
            <w:r>
              <w:rPr>
                <w:sz w:val="18"/>
                <w:szCs w:val="18"/>
              </w:rPr>
              <w:t>序号</w:t>
            </w:r>
          </w:p>
        </w:tc>
        <w:tc>
          <w:tcPr>
            <w:tcW w:w="4196" w:type="dxa"/>
            <w:vAlign w:val="top"/>
          </w:tcPr>
          <w:p w14:paraId="74E6B6AC">
            <w:pPr>
              <w:pStyle w:val="20"/>
              <w:spacing w:before="152" w:line="219" w:lineRule="auto"/>
              <w:ind w:left="1270"/>
              <w:rPr>
                <w:sz w:val="19"/>
                <w:szCs w:val="19"/>
              </w:rPr>
            </w:pPr>
            <w:r>
              <w:rPr>
                <w:spacing w:val="3"/>
                <w:sz w:val="19"/>
                <w:szCs w:val="19"/>
              </w:rPr>
              <w:t>维护保养项目(内容)</w:t>
            </w:r>
          </w:p>
        </w:tc>
        <w:tc>
          <w:tcPr>
            <w:tcW w:w="490" w:type="dxa"/>
            <w:textDirection w:val="tbRlV"/>
            <w:vAlign w:val="top"/>
          </w:tcPr>
          <w:p w14:paraId="732EB597">
            <w:pPr>
              <w:pStyle w:val="20"/>
              <w:spacing w:before="165" w:line="199" w:lineRule="auto"/>
              <w:ind w:left="45"/>
              <w:rPr>
                <w:sz w:val="19"/>
                <w:szCs w:val="19"/>
              </w:rPr>
            </w:pPr>
            <w:r>
              <w:rPr>
                <w:sz w:val="19"/>
                <w:szCs w:val="19"/>
              </w:rPr>
              <w:t>序号</w:t>
            </w:r>
          </w:p>
        </w:tc>
        <w:tc>
          <w:tcPr>
            <w:tcW w:w="3814" w:type="dxa"/>
            <w:vAlign w:val="top"/>
          </w:tcPr>
          <w:p w14:paraId="5B00AE7B">
            <w:pPr>
              <w:pStyle w:val="20"/>
              <w:spacing w:before="152" w:line="219" w:lineRule="auto"/>
              <w:ind w:left="1294"/>
              <w:rPr>
                <w:sz w:val="19"/>
                <w:szCs w:val="19"/>
              </w:rPr>
            </w:pPr>
            <w:r>
              <w:rPr>
                <w:spacing w:val="-1"/>
                <w:sz w:val="19"/>
                <w:szCs w:val="19"/>
              </w:rPr>
              <w:t>维护保养项目(内容)及要求</w:t>
            </w:r>
          </w:p>
        </w:tc>
      </w:tr>
      <w:tr w14:paraId="613CC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596121E5">
            <w:pPr>
              <w:pStyle w:val="20"/>
              <w:spacing w:before="86" w:line="219" w:lineRule="auto"/>
              <w:ind w:left="175"/>
              <w:rPr>
                <w:sz w:val="18"/>
                <w:szCs w:val="18"/>
              </w:rPr>
            </w:pPr>
            <w:r>
              <w:rPr>
                <w:sz w:val="18"/>
                <w:szCs w:val="18"/>
              </w:rPr>
              <w:t>1</w:t>
            </w:r>
          </w:p>
        </w:tc>
        <w:tc>
          <w:tcPr>
            <w:tcW w:w="4196" w:type="dxa"/>
            <w:vAlign w:val="top"/>
          </w:tcPr>
          <w:p w14:paraId="2F62EB02">
            <w:pPr>
              <w:pStyle w:val="20"/>
              <w:spacing w:before="67" w:line="219" w:lineRule="auto"/>
              <w:ind w:left="80"/>
              <w:rPr>
                <w:sz w:val="19"/>
                <w:szCs w:val="19"/>
              </w:rPr>
            </w:pPr>
            <w:r>
              <w:rPr>
                <w:spacing w:val="-1"/>
                <w:sz w:val="19"/>
                <w:szCs w:val="19"/>
              </w:rPr>
              <w:t>机房、滑轮间环境清洁，门窗完好，照明正常</w:t>
            </w:r>
          </w:p>
        </w:tc>
        <w:tc>
          <w:tcPr>
            <w:tcW w:w="490" w:type="dxa"/>
            <w:vAlign w:val="top"/>
          </w:tcPr>
          <w:p w14:paraId="51ABE409">
            <w:pPr>
              <w:pStyle w:val="20"/>
              <w:spacing w:before="86" w:line="219" w:lineRule="auto"/>
              <w:ind w:left="144"/>
              <w:rPr>
                <w:sz w:val="19"/>
                <w:szCs w:val="19"/>
              </w:rPr>
            </w:pPr>
            <w:r>
              <w:rPr>
                <w:spacing w:val="-3"/>
                <w:sz w:val="19"/>
                <w:szCs w:val="19"/>
              </w:rPr>
              <w:t>31</w:t>
            </w:r>
          </w:p>
        </w:tc>
        <w:tc>
          <w:tcPr>
            <w:tcW w:w="3814" w:type="dxa"/>
            <w:vAlign w:val="top"/>
          </w:tcPr>
          <w:p w14:paraId="56F6BEB6">
            <w:pPr>
              <w:pStyle w:val="20"/>
              <w:spacing w:before="68" w:line="220" w:lineRule="auto"/>
              <w:ind w:left="125"/>
              <w:rPr>
                <w:sz w:val="19"/>
                <w:szCs w:val="19"/>
              </w:rPr>
            </w:pPr>
            <w:r>
              <w:rPr>
                <w:spacing w:val="-1"/>
                <w:sz w:val="19"/>
                <w:szCs w:val="19"/>
              </w:rPr>
              <w:t>底坑停止装置工作正常</w:t>
            </w:r>
          </w:p>
        </w:tc>
      </w:tr>
      <w:tr w14:paraId="26F9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455" w:type="dxa"/>
            <w:vAlign w:val="top"/>
          </w:tcPr>
          <w:p w14:paraId="167B7CD2">
            <w:pPr>
              <w:pStyle w:val="20"/>
              <w:spacing w:before="86" w:line="228" w:lineRule="auto"/>
              <w:ind w:left="175"/>
              <w:rPr>
                <w:sz w:val="18"/>
                <w:szCs w:val="18"/>
              </w:rPr>
            </w:pPr>
            <w:r>
              <w:rPr>
                <w:sz w:val="18"/>
                <w:szCs w:val="18"/>
              </w:rPr>
              <w:t>2</w:t>
            </w:r>
          </w:p>
        </w:tc>
        <w:tc>
          <w:tcPr>
            <w:tcW w:w="4196" w:type="dxa"/>
            <w:vAlign w:val="top"/>
          </w:tcPr>
          <w:p w14:paraId="096047FD">
            <w:pPr>
              <w:pStyle w:val="20"/>
              <w:spacing w:before="68" w:line="219" w:lineRule="auto"/>
              <w:ind w:left="80"/>
              <w:rPr>
                <w:sz w:val="19"/>
                <w:szCs w:val="19"/>
              </w:rPr>
            </w:pPr>
            <w:r>
              <w:rPr>
                <w:spacing w:val="-1"/>
                <w:sz w:val="19"/>
                <w:szCs w:val="19"/>
              </w:rPr>
              <w:t>手动紧急操作装置齐全，在指定位置</w:t>
            </w:r>
          </w:p>
        </w:tc>
        <w:tc>
          <w:tcPr>
            <w:tcW w:w="490" w:type="dxa"/>
            <w:vAlign w:val="top"/>
          </w:tcPr>
          <w:p w14:paraId="32405188">
            <w:pPr>
              <w:pStyle w:val="20"/>
              <w:spacing w:before="86" w:line="228" w:lineRule="auto"/>
              <w:ind w:left="144"/>
              <w:rPr>
                <w:sz w:val="19"/>
                <w:szCs w:val="19"/>
              </w:rPr>
            </w:pPr>
            <w:r>
              <w:rPr>
                <w:spacing w:val="-3"/>
                <w:sz w:val="19"/>
                <w:szCs w:val="19"/>
              </w:rPr>
              <w:t>32</w:t>
            </w:r>
          </w:p>
        </w:tc>
        <w:tc>
          <w:tcPr>
            <w:tcW w:w="3814" w:type="dxa"/>
            <w:vAlign w:val="top"/>
          </w:tcPr>
          <w:p w14:paraId="44477668">
            <w:pPr>
              <w:pStyle w:val="20"/>
              <w:spacing w:before="67" w:line="219" w:lineRule="auto"/>
              <w:ind w:left="125"/>
              <w:rPr>
                <w:sz w:val="19"/>
                <w:szCs w:val="19"/>
              </w:rPr>
            </w:pPr>
            <w:r>
              <w:rPr>
                <w:spacing w:val="-1"/>
                <w:sz w:val="19"/>
                <w:szCs w:val="19"/>
              </w:rPr>
              <w:t>减速机润滑油，油量适宜，除蜗杆伸出端外均无渗漏</w:t>
            </w:r>
          </w:p>
        </w:tc>
      </w:tr>
      <w:tr w14:paraId="615D4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0A308345">
            <w:pPr>
              <w:pStyle w:val="20"/>
              <w:spacing w:before="87" w:line="218" w:lineRule="auto"/>
              <w:ind w:left="175"/>
              <w:rPr>
                <w:sz w:val="18"/>
                <w:szCs w:val="18"/>
              </w:rPr>
            </w:pPr>
            <w:r>
              <w:rPr>
                <w:sz w:val="18"/>
                <w:szCs w:val="18"/>
              </w:rPr>
              <w:t>3</w:t>
            </w:r>
          </w:p>
        </w:tc>
        <w:tc>
          <w:tcPr>
            <w:tcW w:w="4196" w:type="dxa"/>
            <w:vAlign w:val="top"/>
          </w:tcPr>
          <w:p w14:paraId="78865FC3">
            <w:pPr>
              <w:pStyle w:val="20"/>
              <w:spacing w:before="68" w:line="219" w:lineRule="auto"/>
              <w:ind w:left="80"/>
              <w:rPr>
                <w:sz w:val="19"/>
                <w:szCs w:val="19"/>
              </w:rPr>
            </w:pPr>
            <w:r>
              <w:rPr>
                <w:sz w:val="19"/>
                <w:szCs w:val="19"/>
              </w:rPr>
              <w:t>驱动主机运行时无异常振动和异常声响</w:t>
            </w:r>
          </w:p>
        </w:tc>
        <w:tc>
          <w:tcPr>
            <w:tcW w:w="490" w:type="dxa"/>
            <w:vAlign w:val="top"/>
          </w:tcPr>
          <w:p w14:paraId="7774EC20">
            <w:pPr>
              <w:pStyle w:val="20"/>
              <w:spacing w:before="87" w:line="218" w:lineRule="auto"/>
              <w:ind w:left="144"/>
              <w:rPr>
                <w:sz w:val="19"/>
                <w:szCs w:val="19"/>
              </w:rPr>
            </w:pPr>
            <w:r>
              <w:rPr>
                <w:spacing w:val="-3"/>
                <w:sz w:val="19"/>
                <w:szCs w:val="19"/>
              </w:rPr>
              <w:t>33</w:t>
            </w:r>
          </w:p>
        </w:tc>
        <w:tc>
          <w:tcPr>
            <w:tcW w:w="3814" w:type="dxa"/>
            <w:vAlign w:val="top"/>
          </w:tcPr>
          <w:p w14:paraId="3ED89F2E">
            <w:pPr>
              <w:pStyle w:val="20"/>
              <w:spacing w:before="69" w:line="219" w:lineRule="auto"/>
              <w:ind w:left="125"/>
              <w:rPr>
                <w:sz w:val="19"/>
                <w:szCs w:val="19"/>
              </w:rPr>
            </w:pPr>
            <w:r>
              <w:rPr>
                <w:spacing w:val="-1"/>
                <w:sz w:val="19"/>
                <w:szCs w:val="19"/>
              </w:rPr>
              <w:t>制动衬清洁，磨损量不超过制造单位要求</w:t>
            </w:r>
          </w:p>
        </w:tc>
      </w:tr>
      <w:tr w14:paraId="42012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0A456207">
            <w:pPr>
              <w:pStyle w:val="20"/>
              <w:spacing w:before="87" w:line="218" w:lineRule="auto"/>
              <w:ind w:left="175"/>
              <w:rPr>
                <w:sz w:val="18"/>
                <w:szCs w:val="18"/>
              </w:rPr>
            </w:pPr>
            <w:r>
              <w:rPr>
                <w:sz w:val="18"/>
                <w:szCs w:val="18"/>
              </w:rPr>
              <w:t>4</w:t>
            </w:r>
          </w:p>
        </w:tc>
        <w:tc>
          <w:tcPr>
            <w:tcW w:w="4196" w:type="dxa"/>
            <w:vAlign w:val="top"/>
          </w:tcPr>
          <w:p w14:paraId="4BA71796">
            <w:pPr>
              <w:pStyle w:val="20"/>
              <w:spacing w:before="68" w:line="219" w:lineRule="auto"/>
              <w:ind w:left="80"/>
              <w:rPr>
                <w:sz w:val="19"/>
                <w:szCs w:val="19"/>
              </w:rPr>
            </w:pPr>
            <w:r>
              <w:rPr>
                <w:spacing w:val="-1"/>
                <w:sz w:val="19"/>
                <w:szCs w:val="19"/>
              </w:rPr>
              <w:t>制动器各销轴部位动作灵活</w:t>
            </w:r>
          </w:p>
        </w:tc>
        <w:tc>
          <w:tcPr>
            <w:tcW w:w="490" w:type="dxa"/>
            <w:vAlign w:val="top"/>
          </w:tcPr>
          <w:p w14:paraId="20A92B76">
            <w:pPr>
              <w:pStyle w:val="20"/>
              <w:spacing w:before="87" w:line="218" w:lineRule="auto"/>
              <w:ind w:left="144"/>
              <w:rPr>
                <w:sz w:val="19"/>
                <w:szCs w:val="19"/>
              </w:rPr>
            </w:pPr>
            <w:r>
              <w:rPr>
                <w:spacing w:val="-3"/>
                <w:sz w:val="19"/>
                <w:szCs w:val="19"/>
              </w:rPr>
              <w:t>34</w:t>
            </w:r>
          </w:p>
        </w:tc>
        <w:tc>
          <w:tcPr>
            <w:tcW w:w="3814" w:type="dxa"/>
            <w:vAlign w:val="top"/>
          </w:tcPr>
          <w:p w14:paraId="4FDAA34E">
            <w:pPr>
              <w:pStyle w:val="20"/>
              <w:spacing w:before="69" w:line="219" w:lineRule="auto"/>
              <w:ind w:left="125"/>
              <w:rPr>
                <w:sz w:val="19"/>
                <w:szCs w:val="19"/>
              </w:rPr>
            </w:pPr>
            <w:r>
              <w:rPr>
                <w:spacing w:val="-2"/>
                <w:sz w:val="19"/>
                <w:szCs w:val="19"/>
              </w:rPr>
              <w:t>编码器工作正常</w:t>
            </w:r>
          </w:p>
        </w:tc>
      </w:tr>
      <w:tr w14:paraId="4C531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455" w:type="dxa"/>
            <w:vAlign w:val="top"/>
          </w:tcPr>
          <w:p w14:paraId="1CE6CD08">
            <w:pPr>
              <w:pStyle w:val="20"/>
              <w:spacing w:before="166"/>
              <w:ind w:left="175"/>
              <w:rPr>
                <w:sz w:val="18"/>
                <w:szCs w:val="18"/>
              </w:rPr>
            </w:pPr>
            <w:r>
              <w:rPr>
                <w:sz w:val="18"/>
                <w:szCs w:val="18"/>
              </w:rPr>
              <w:t>5</w:t>
            </w:r>
          </w:p>
        </w:tc>
        <w:tc>
          <w:tcPr>
            <w:tcW w:w="4196" w:type="dxa"/>
            <w:vAlign w:val="top"/>
          </w:tcPr>
          <w:p w14:paraId="56D48A2B">
            <w:pPr>
              <w:pStyle w:val="20"/>
              <w:spacing w:before="49" w:line="207" w:lineRule="auto"/>
              <w:ind w:left="100"/>
              <w:rPr>
                <w:sz w:val="19"/>
                <w:szCs w:val="19"/>
              </w:rPr>
            </w:pPr>
            <w:r>
              <w:rPr>
                <w:spacing w:val="-3"/>
                <w:sz w:val="19"/>
                <w:szCs w:val="19"/>
              </w:rPr>
              <w:t>制动器间隙，打开时制动衬与帛动轮不应发生摩擦，</w:t>
            </w:r>
            <w:r>
              <w:rPr>
                <w:spacing w:val="13"/>
                <w:sz w:val="19"/>
                <w:szCs w:val="19"/>
              </w:rPr>
              <w:t xml:space="preserve"> </w:t>
            </w:r>
            <w:r>
              <w:rPr>
                <w:spacing w:val="-2"/>
                <w:sz w:val="19"/>
                <w:szCs w:val="19"/>
              </w:rPr>
              <w:t>间隙值符合制造单位要求</w:t>
            </w:r>
          </w:p>
        </w:tc>
        <w:tc>
          <w:tcPr>
            <w:tcW w:w="490" w:type="dxa"/>
            <w:vAlign w:val="top"/>
          </w:tcPr>
          <w:p w14:paraId="577B3072">
            <w:pPr>
              <w:pStyle w:val="20"/>
              <w:spacing w:before="166"/>
              <w:ind w:left="144"/>
              <w:rPr>
                <w:sz w:val="19"/>
                <w:szCs w:val="19"/>
              </w:rPr>
            </w:pPr>
            <w:r>
              <w:rPr>
                <w:spacing w:val="-3"/>
                <w:sz w:val="19"/>
                <w:szCs w:val="19"/>
              </w:rPr>
              <w:t>35</w:t>
            </w:r>
          </w:p>
        </w:tc>
        <w:tc>
          <w:tcPr>
            <w:tcW w:w="3814" w:type="dxa"/>
            <w:vAlign w:val="top"/>
          </w:tcPr>
          <w:p w14:paraId="7578C60E">
            <w:pPr>
              <w:pStyle w:val="20"/>
              <w:spacing w:before="148" w:line="219" w:lineRule="auto"/>
              <w:ind w:left="125"/>
              <w:rPr>
                <w:sz w:val="19"/>
                <w:szCs w:val="19"/>
              </w:rPr>
            </w:pPr>
            <w:r>
              <w:rPr>
                <w:spacing w:val="-1"/>
                <w:sz w:val="19"/>
                <w:szCs w:val="19"/>
              </w:rPr>
              <w:t>选层器动静触点清洁，无烧蚀</w:t>
            </w:r>
          </w:p>
        </w:tc>
      </w:tr>
      <w:tr w14:paraId="28CF2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455" w:type="dxa"/>
            <w:vAlign w:val="top"/>
          </w:tcPr>
          <w:p w14:paraId="2E70A285">
            <w:pPr>
              <w:pStyle w:val="20"/>
              <w:spacing w:before="287"/>
              <w:ind w:left="175"/>
              <w:rPr>
                <w:sz w:val="18"/>
                <w:szCs w:val="18"/>
              </w:rPr>
            </w:pPr>
            <w:r>
              <w:rPr>
                <w:sz w:val="18"/>
                <w:szCs w:val="18"/>
              </w:rPr>
              <w:t>6</w:t>
            </w:r>
          </w:p>
        </w:tc>
        <w:tc>
          <w:tcPr>
            <w:tcW w:w="4196" w:type="dxa"/>
            <w:vAlign w:val="top"/>
          </w:tcPr>
          <w:p w14:paraId="0687EBBB">
            <w:pPr>
              <w:pStyle w:val="20"/>
              <w:spacing w:before="30" w:line="232" w:lineRule="auto"/>
              <w:ind w:left="99" w:hanging="19"/>
              <w:rPr>
                <w:sz w:val="19"/>
                <w:szCs w:val="19"/>
              </w:rPr>
            </w:pPr>
            <w:r>
              <w:rPr>
                <w:spacing w:val="-1"/>
                <w:sz w:val="19"/>
                <w:szCs w:val="19"/>
              </w:rPr>
              <w:t>制动器作为轿厢意外移动保护装置制停子系统时的</w:t>
            </w:r>
            <w:r>
              <w:rPr>
                <w:spacing w:val="9"/>
                <w:sz w:val="19"/>
                <w:szCs w:val="19"/>
              </w:rPr>
              <w:t xml:space="preserve">  </w:t>
            </w:r>
            <w:r>
              <w:rPr>
                <w:spacing w:val="-3"/>
                <w:sz w:val="19"/>
                <w:szCs w:val="19"/>
              </w:rPr>
              <w:t>自监测，制动力人工方式检测符合使用维护说明书要</w:t>
            </w:r>
            <w:r>
              <w:rPr>
                <w:spacing w:val="14"/>
                <w:sz w:val="19"/>
                <w:szCs w:val="19"/>
              </w:rPr>
              <w:t xml:space="preserve"> </w:t>
            </w:r>
            <w:r>
              <w:rPr>
                <w:spacing w:val="-2"/>
                <w:sz w:val="19"/>
                <w:szCs w:val="19"/>
              </w:rPr>
              <w:t>求；制动力自监测系统有记录</w:t>
            </w:r>
          </w:p>
        </w:tc>
        <w:tc>
          <w:tcPr>
            <w:tcW w:w="490" w:type="dxa"/>
            <w:vAlign w:val="top"/>
          </w:tcPr>
          <w:p w14:paraId="4AB01399">
            <w:pPr>
              <w:pStyle w:val="20"/>
              <w:spacing w:before="287"/>
              <w:ind w:left="144"/>
              <w:rPr>
                <w:sz w:val="19"/>
                <w:szCs w:val="19"/>
              </w:rPr>
            </w:pPr>
            <w:r>
              <w:rPr>
                <w:spacing w:val="-3"/>
                <w:sz w:val="19"/>
                <w:szCs w:val="19"/>
              </w:rPr>
              <w:t>36</w:t>
            </w:r>
          </w:p>
        </w:tc>
        <w:tc>
          <w:tcPr>
            <w:tcW w:w="3814" w:type="dxa"/>
            <w:vAlign w:val="top"/>
          </w:tcPr>
          <w:p w14:paraId="584E60CF">
            <w:pPr>
              <w:pStyle w:val="20"/>
              <w:spacing w:before="180" w:line="212" w:lineRule="auto"/>
              <w:ind w:left="114" w:firstLine="10"/>
              <w:rPr>
                <w:sz w:val="19"/>
                <w:szCs w:val="19"/>
              </w:rPr>
            </w:pPr>
            <w:r>
              <w:rPr>
                <w:spacing w:val="-1"/>
                <w:sz w:val="19"/>
                <w:szCs w:val="19"/>
              </w:rPr>
              <w:t>曳引轮槽、悬挂装置清洁，钢丝绳无严重油腻，张力均</w:t>
            </w:r>
            <w:r>
              <w:rPr>
                <w:spacing w:val="3"/>
                <w:sz w:val="19"/>
                <w:szCs w:val="19"/>
              </w:rPr>
              <w:t xml:space="preserve"> </w:t>
            </w:r>
            <w:r>
              <w:rPr>
                <w:spacing w:val="-2"/>
                <w:sz w:val="19"/>
                <w:szCs w:val="19"/>
              </w:rPr>
              <w:t>匀，符合制造单位要求</w:t>
            </w:r>
          </w:p>
        </w:tc>
      </w:tr>
      <w:tr w14:paraId="4B8FC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5F5E85B6">
            <w:pPr>
              <w:pStyle w:val="20"/>
              <w:spacing w:before="89" w:line="216" w:lineRule="auto"/>
              <w:ind w:left="175"/>
              <w:rPr>
                <w:sz w:val="18"/>
                <w:szCs w:val="18"/>
              </w:rPr>
            </w:pPr>
            <w:r>
              <w:rPr>
                <w:sz w:val="18"/>
                <w:szCs w:val="18"/>
              </w:rPr>
              <w:t>7</w:t>
            </w:r>
          </w:p>
        </w:tc>
        <w:tc>
          <w:tcPr>
            <w:tcW w:w="4196" w:type="dxa"/>
            <w:vAlign w:val="top"/>
          </w:tcPr>
          <w:p w14:paraId="189210F3">
            <w:pPr>
              <w:pStyle w:val="20"/>
              <w:spacing w:before="71" w:line="219" w:lineRule="auto"/>
              <w:ind w:left="80"/>
              <w:rPr>
                <w:sz w:val="19"/>
                <w:szCs w:val="19"/>
              </w:rPr>
            </w:pPr>
            <w:r>
              <w:rPr>
                <w:spacing w:val="6"/>
                <w:sz w:val="19"/>
                <w:szCs w:val="19"/>
              </w:rPr>
              <w:t>编码器清洁，安装牢固.</w:t>
            </w:r>
          </w:p>
        </w:tc>
        <w:tc>
          <w:tcPr>
            <w:tcW w:w="490" w:type="dxa"/>
            <w:vAlign w:val="top"/>
          </w:tcPr>
          <w:p w14:paraId="55D7BF88">
            <w:pPr>
              <w:pStyle w:val="20"/>
              <w:spacing w:before="89" w:line="216" w:lineRule="auto"/>
              <w:ind w:left="144"/>
              <w:rPr>
                <w:sz w:val="19"/>
                <w:szCs w:val="19"/>
              </w:rPr>
            </w:pPr>
            <w:r>
              <w:rPr>
                <w:spacing w:val="-3"/>
                <w:sz w:val="19"/>
                <w:szCs w:val="19"/>
              </w:rPr>
              <w:t>37</w:t>
            </w:r>
          </w:p>
        </w:tc>
        <w:tc>
          <w:tcPr>
            <w:tcW w:w="3814" w:type="dxa"/>
            <w:vAlign w:val="top"/>
          </w:tcPr>
          <w:p w14:paraId="0E114D30">
            <w:pPr>
              <w:pStyle w:val="20"/>
              <w:spacing w:before="71" w:line="219" w:lineRule="auto"/>
              <w:ind w:left="125"/>
              <w:rPr>
                <w:sz w:val="19"/>
                <w:szCs w:val="19"/>
              </w:rPr>
            </w:pPr>
            <w:r>
              <w:rPr>
                <w:sz w:val="19"/>
                <w:szCs w:val="19"/>
              </w:rPr>
              <w:t>限速器轮槽、限速器钢丝清洁，无严重油腻</w:t>
            </w:r>
          </w:p>
        </w:tc>
      </w:tr>
      <w:tr w14:paraId="101B9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2B70B869">
            <w:pPr>
              <w:pStyle w:val="20"/>
              <w:spacing w:before="89" w:line="216" w:lineRule="auto"/>
              <w:ind w:left="175"/>
              <w:rPr>
                <w:sz w:val="18"/>
                <w:szCs w:val="18"/>
              </w:rPr>
            </w:pPr>
            <w:r>
              <w:rPr>
                <w:sz w:val="18"/>
                <w:szCs w:val="18"/>
              </w:rPr>
              <w:t>8</w:t>
            </w:r>
          </w:p>
        </w:tc>
        <w:tc>
          <w:tcPr>
            <w:tcW w:w="4196" w:type="dxa"/>
            <w:vAlign w:val="top"/>
          </w:tcPr>
          <w:p w14:paraId="6ABCB035">
            <w:pPr>
              <w:pStyle w:val="20"/>
              <w:spacing w:before="70" w:line="219" w:lineRule="auto"/>
              <w:ind w:left="80"/>
              <w:rPr>
                <w:sz w:val="19"/>
                <w:szCs w:val="19"/>
              </w:rPr>
            </w:pPr>
            <w:r>
              <w:rPr>
                <w:sz w:val="19"/>
                <w:szCs w:val="19"/>
              </w:rPr>
              <w:t>限速器各销轴部位润滑，转动灵活；电气开关正常</w:t>
            </w:r>
          </w:p>
        </w:tc>
        <w:tc>
          <w:tcPr>
            <w:tcW w:w="490" w:type="dxa"/>
            <w:vAlign w:val="top"/>
          </w:tcPr>
          <w:p w14:paraId="05841B16">
            <w:pPr>
              <w:pStyle w:val="20"/>
              <w:spacing w:before="89" w:line="216" w:lineRule="auto"/>
              <w:ind w:left="144"/>
              <w:rPr>
                <w:sz w:val="19"/>
                <w:szCs w:val="19"/>
              </w:rPr>
            </w:pPr>
            <w:r>
              <w:rPr>
                <w:spacing w:val="-3"/>
                <w:sz w:val="19"/>
                <w:szCs w:val="19"/>
              </w:rPr>
              <w:t>38</w:t>
            </w:r>
          </w:p>
        </w:tc>
        <w:tc>
          <w:tcPr>
            <w:tcW w:w="3814" w:type="dxa"/>
            <w:vAlign w:val="top"/>
          </w:tcPr>
          <w:p w14:paraId="156DC141">
            <w:pPr>
              <w:pStyle w:val="20"/>
              <w:spacing w:before="71" w:line="219" w:lineRule="auto"/>
              <w:ind w:left="125"/>
              <w:rPr>
                <w:sz w:val="19"/>
                <w:szCs w:val="19"/>
              </w:rPr>
            </w:pPr>
            <w:r>
              <w:rPr>
                <w:spacing w:val="-1"/>
                <w:sz w:val="19"/>
                <w:szCs w:val="19"/>
              </w:rPr>
              <w:t>靴衬、滚轮清洁，磨损量不超过制造单位要求</w:t>
            </w:r>
          </w:p>
        </w:tc>
      </w:tr>
      <w:tr w14:paraId="4CA23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571D2C76">
            <w:pPr>
              <w:pStyle w:val="20"/>
              <w:spacing w:before="89" w:line="216" w:lineRule="auto"/>
              <w:ind w:left="175"/>
              <w:rPr>
                <w:sz w:val="18"/>
                <w:szCs w:val="18"/>
              </w:rPr>
            </w:pPr>
            <w:r>
              <w:rPr>
                <w:sz w:val="18"/>
                <w:szCs w:val="18"/>
              </w:rPr>
              <w:t>9</w:t>
            </w:r>
          </w:p>
        </w:tc>
        <w:tc>
          <w:tcPr>
            <w:tcW w:w="4196" w:type="dxa"/>
            <w:vAlign w:val="top"/>
          </w:tcPr>
          <w:p w14:paraId="1376BAF5">
            <w:pPr>
              <w:pStyle w:val="20"/>
              <w:spacing w:before="71" w:line="219" w:lineRule="auto"/>
              <w:ind w:left="80"/>
              <w:rPr>
                <w:sz w:val="19"/>
                <w:szCs w:val="19"/>
              </w:rPr>
            </w:pPr>
            <w:r>
              <w:rPr>
                <w:spacing w:val="-1"/>
                <w:sz w:val="19"/>
                <w:szCs w:val="19"/>
              </w:rPr>
              <w:t>层门和轿门旁路装置工作正常</w:t>
            </w:r>
          </w:p>
        </w:tc>
        <w:tc>
          <w:tcPr>
            <w:tcW w:w="490" w:type="dxa"/>
            <w:vAlign w:val="top"/>
          </w:tcPr>
          <w:p w14:paraId="175C799A">
            <w:pPr>
              <w:pStyle w:val="20"/>
              <w:spacing w:before="89" w:line="216" w:lineRule="auto"/>
              <w:ind w:left="144"/>
              <w:rPr>
                <w:sz w:val="19"/>
                <w:szCs w:val="19"/>
              </w:rPr>
            </w:pPr>
            <w:r>
              <w:rPr>
                <w:spacing w:val="-3"/>
                <w:sz w:val="19"/>
                <w:szCs w:val="19"/>
              </w:rPr>
              <w:t>39</w:t>
            </w:r>
          </w:p>
        </w:tc>
        <w:tc>
          <w:tcPr>
            <w:tcW w:w="3814" w:type="dxa"/>
            <w:vAlign w:val="top"/>
          </w:tcPr>
          <w:p w14:paraId="31FD954E">
            <w:pPr>
              <w:pStyle w:val="20"/>
              <w:spacing w:before="71" w:line="220" w:lineRule="auto"/>
              <w:ind w:left="125"/>
              <w:rPr>
                <w:sz w:val="19"/>
                <w:szCs w:val="19"/>
              </w:rPr>
            </w:pPr>
            <w:r>
              <w:rPr>
                <w:spacing w:val="-1"/>
                <w:sz w:val="19"/>
                <w:szCs w:val="19"/>
              </w:rPr>
              <w:t>验证轿门关闭的电气安全装置工作正常</w:t>
            </w:r>
          </w:p>
        </w:tc>
      </w:tr>
      <w:tr w14:paraId="52691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455" w:type="dxa"/>
            <w:vAlign w:val="top"/>
          </w:tcPr>
          <w:p w14:paraId="044A73A4">
            <w:pPr>
              <w:pStyle w:val="20"/>
              <w:spacing w:before="168"/>
              <w:ind w:left="124"/>
              <w:rPr>
                <w:sz w:val="18"/>
                <w:szCs w:val="18"/>
              </w:rPr>
            </w:pPr>
            <w:r>
              <w:rPr>
                <w:spacing w:val="-6"/>
                <w:sz w:val="18"/>
                <w:szCs w:val="18"/>
              </w:rPr>
              <w:t>10</w:t>
            </w:r>
          </w:p>
        </w:tc>
        <w:tc>
          <w:tcPr>
            <w:tcW w:w="4196" w:type="dxa"/>
            <w:vAlign w:val="top"/>
          </w:tcPr>
          <w:p w14:paraId="6AA8D0E0">
            <w:pPr>
              <w:pStyle w:val="20"/>
              <w:spacing w:before="151" w:line="219" w:lineRule="auto"/>
              <w:ind w:left="80"/>
              <w:rPr>
                <w:sz w:val="19"/>
                <w:szCs w:val="19"/>
              </w:rPr>
            </w:pPr>
            <w:r>
              <w:rPr>
                <w:sz w:val="19"/>
                <w:szCs w:val="19"/>
              </w:rPr>
              <w:t>紧急电动运行工作正常</w:t>
            </w:r>
          </w:p>
        </w:tc>
        <w:tc>
          <w:tcPr>
            <w:tcW w:w="490" w:type="dxa"/>
            <w:vAlign w:val="top"/>
          </w:tcPr>
          <w:p w14:paraId="5B61442F">
            <w:pPr>
              <w:pStyle w:val="20"/>
              <w:spacing w:before="168"/>
              <w:ind w:left="144"/>
              <w:rPr>
                <w:sz w:val="19"/>
                <w:szCs w:val="19"/>
              </w:rPr>
            </w:pPr>
            <w:r>
              <w:rPr>
                <w:spacing w:val="-2"/>
                <w:sz w:val="19"/>
                <w:szCs w:val="19"/>
              </w:rPr>
              <w:t>40</w:t>
            </w:r>
          </w:p>
        </w:tc>
        <w:tc>
          <w:tcPr>
            <w:tcW w:w="3814" w:type="dxa"/>
            <w:vAlign w:val="top"/>
          </w:tcPr>
          <w:p w14:paraId="6E2A6109">
            <w:pPr>
              <w:pStyle w:val="20"/>
              <w:spacing w:before="41" w:line="213" w:lineRule="auto"/>
              <w:ind w:left="104" w:right="145" w:firstLine="20"/>
              <w:rPr>
                <w:sz w:val="19"/>
                <w:szCs w:val="19"/>
              </w:rPr>
            </w:pPr>
            <w:r>
              <w:rPr>
                <w:sz w:val="19"/>
                <w:szCs w:val="19"/>
              </w:rPr>
              <w:t>层门、轿门系统中传动钢丝绳、链条、传动带按照制</w:t>
            </w:r>
            <w:r>
              <w:rPr>
                <w:spacing w:val="14"/>
                <w:sz w:val="19"/>
                <w:szCs w:val="19"/>
              </w:rPr>
              <w:t xml:space="preserve"> </w:t>
            </w:r>
            <w:r>
              <w:rPr>
                <w:spacing w:val="-1"/>
                <w:sz w:val="19"/>
                <w:szCs w:val="19"/>
              </w:rPr>
              <w:t>造单位 要求进行清洁、调整</w:t>
            </w:r>
          </w:p>
        </w:tc>
      </w:tr>
      <w:tr w14:paraId="0ADC4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7C138AEA">
            <w:pPr>
              <w:pStyle w:val="20"/>
              <w:spacing w:before="90" w:line="215" w:lineRule="auto"/>
              <w:ind w:left="124"/>
              <w:rPr>
                <w:sz w:val="18"/>
                <w:szCs w:val="18"/>
              </w:rPr>
            </w:pPr>
            <w:r>
              <w:rPr>
                <w:spacing w:val="-6"/>
                <w:sz w:val="18"/>
                <w:szCs w:val="18"/>
              </w:rPr>
              <w:t>11</w:t>
            </w:r>
          </w:p>
        </w:tc>
        <w:tc>
          <w:tcPr>
            <w:tcW w:w="4196" w:type="dxa"/>
            <w:vAlign w:val="top"/>
          </w:tcPr>
          <w:p w14:paraId="673B4703">
            <w:pPr>
              <w:pStyle w:val="20"/>
              <w:spacing w:before="72" w:line="219" w:lineRule="auto"/>
              <w:ind w:left="80"/>
              <w:rPr>
                <w:sz w:val="19"/>
                <w:szCs w:val="19"/>
              </w:rPr>
            </w:pPr>
            <w:r>
              <w:rPr>
                <w:spacing w:val="-1"/>
                <w:sz w:val="19"/>
                <w:szCs w:val="19"/>
              </w:rPr>
              <w:t>轿顶清洁.防护栏安全可靠</w:t>
            </w:r>
          </w:p>
        </w:tc>
        <w:tc>
          <w:tcPr>
            <w:tcW w:w="490" w:type="dxa"/>
            <w:vAlign w:val="top"/>
          </w:tcPr>
          <w:p w14:paraId="3B9D8215">
            <w:pPr>
              <w:pStyle w:val="20"/>
              <w:spacing w:before="90" w:line="215" w:lineRule="auto"/>
              <w:ind w:left="144"/>
              <w:rPr>
                <w:sz w:val="19"/>
                <w:szCs w:val="19"/>
              </w:rPr>
            </w:pPr>
            <w:r>
              <w:rPr>
                <w:spacing w:val="-2"/>
                <w:sz w:val="19"/>
                <w:szCs w:val="19"/>
              </w:rPr>
              <w:t>41</w:t>
            </w:r>
          </w:p>
        </w:tc>
        <w:tc>
          <w:tcPr>
            <w:tcW w:w="3814" w:type="dxa"/>
            <w:vAlign w:val="top"/>
          </w:tcPr>
          <w:p w14:paraId="4F3DC357">
            <w:pPr>
              <w:pStyle w:val="20"/>
              <w:spacing w:before="72" w:line="219" w:lineRule="auto"/>
              <w:ind w:left="125"/>
              <w:rPr>
                <w:sz w:val="19"/>
                <w:szCs w:val="19"/>
              </w:rPr>
            </w:pPr>
            <w:r>
              <w:rPr>
                <w:spacing w:val="-1"/>
                <w:sz w:val="19"/>
                <w:szCs w:val="19"/>
              </w:rPr>
              <w:t>层门门导靴磨损量不超过制造单位要求</w:t>
            </w:r>
          </w:p>
        </w:tc>
      </w:tr>
      <w:tr w14:paraId="04A5B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7817FA18">
            <w:pPr>
              <w:pStyle w:val="20"/>
              <w:spacing w:before="90" w:line="215" w:lineRule="auto"/>
              <w:ind w:left="124"/>
              <w:rPr>
                <w:sz w:val="18"/>
                <w:szCs w:val="18"/>
              </w:rPr>
            </w:pPr>
            <w:r>
              <w:rPr>
                <w:spacing w:val="-6"/>
                <w:sz w:val="18"/>
                <w:szCs w:val="18"/>
              </w:rPr>
              <w:t>12</w:t>
            </w:r>
          </w:p>
        </w:tc>
        <w:tc>
          <w:tcPr>
            <w:tcW w:w="4196" w:type="dxa"/>
            <w:vAlign w:val="top"/>
          </w:tcPr>
          <w:p w14:paraId="5C56ACFC">
            <w:pPr>
              <w:pStyle w:val="20"/>
              <w:spacing w:before="72" w:line="219" w:lineRule="auto"/>
              <w:ind w:left="80"/>
              <w:rPr>
                <w:sz w:val="19"/>
                <w:szCs w:val="19"/>
              </w:rPr>
            </w:pPr>
            <w:r>
              <w:rPr>
                <w:spacing w:val="-1"/>
                <w:sz w:val="19"/>
                <w:szCs w:val="19"/>
              </w:rPr>
              <w:t>轿顶检修开关、停止装置工作正常</w:t>
            </w:r>
          </w:p>
        </w:tc>
        <w:tc>
          <w:tcPr>
            <w:tcW w:w="490" w:type="dxa"/>
            <w:vAlign w:val="top"/>
          </w:tcPr>
          <w:p w14:paraId="128A07C0">
            <w:pPr>
              <w:pStyle w:val="20"/>
              <w:spacing w:before="90" w:line="215" w:lineRule="auto"/>
              <w:ind w:left="144"/>
              <w:rPr>
                <w:sz w:val="19"/>
                <w:szCs w:val="19"/>
              </w:rPr>
            </w:pPr>
            <w:r>
              <w:rPr>
                <w:spacing w:val="-2"/>
                <w:sz w:val="19"/>
                <w:szCs w:val="19"/>
              </w:rPr>
              <w:t>42</w:t>
            </w:r>
          </w:p>
        </w:tc>
        <w:tc>
          <w:tcPr>
            <w:tcW w:w="3814" w:type="dxa"/>
            <w:vAlign w:val="top"/>
          </w:tcPr>
          <w:p w14:paraId="6C61A779">
            <w:pPr>
              <w:pStyle w:val="20"/>
              <w:spacing w:before="73" w:line="220" w:lineRule="auto"/>
              <w:ind w:left="125"/>
              <w:rPr>
                <w:sz w:val="19"/>
                <w:szCs w:val="19"/>
              </w:rPr>
            </w:pPr>
            <w:r>
              <w:rPr>
                <w:spacing w:val="-1"/>
                <w:sz w:val="19"/>
                <w:szCs w:val="19"/>
              </w:rPr>
              <w:t>消防开关工作正常，功能有效</w:t>
            </w:r>
          </w:p>
        </w:tc>
      </w:tr>
      <w:tr w14:paraId="17093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455" w:type="dxa"/>
            <w:vAlign w:val="top"/>
          </w:tcPr>
          <w:p w14:paraId="7B7F7D09">
            <w:pPr>
              <w:pStyle w:val="20"/>
              <w:spacing w:before="99"/>
              <w:ind w:left="124"/>
              <w:rPr>
                <w:sz w:val="18"/>
                <w:szCs w:val="18"/>
              </w:rPr>
            </w:pPr>
            <w:r>
              <w:rPr>
                <w:spacing w:val="-6"/>
                <w:sz w:val="18"/>
                <w:szCs w:val="18"/>
              </w:rPr>
              <w:t>13</w:t>
            </w:r>
          </w:p>
        </w:tc>
        <w:tc>
          <w:tcPr>
            <w:tcW w:w="4196" w:type="dxa"/>
            <w:vAlign w:val="top"/>
          </w:tcPr>
          <w:p w14:paraId="260CF303">
            <w:pPr>
              <w:pStyle w:val="20"/>
              <w:spacing w:before="71" w:line="219" w:lineRule="auto"/>
              <w:ind w:left="80"/>
              <w:rPr>
                <w:sz w:val="19"/>
                <w:szCs w:val="19"/>
              </w:rPr>
            </w:pPr>
            <w:r>
              <w:rPr>
                <w:sz w:val="19"/>
                <w:szCs w:val="19"/>
              </w:rPr>
              <w:t>导靴上油杯吸油毛毡齐全，油量适宜，油杯无泄漏</w:t>
            </w:r>
          </w:p>
        </w:tc>
        <w:tc>
          <w:tcPr>
            <w:tcW w:w="490" w:type="dxa"/>
            <w:vAlign w:val="top"/>
          </w:tcPr>
          <w:p w14:paraId="0A7840CE">
            <w:pPr>
              <w:pStyle w:val="20"/>
              <w:spacing w:before="179"/>
              <w:ind w:left="144"/>
              <w:rPr>
                <w:sz w:val="19"/>
                <w:szCs w:val="19"/>
              </w:rPr>
            </w:pPr>
            <w:r>
              <w:rPr>
                <w:spacing w:val="-2"/>
                <w:sz w:val="19"/>
                <w:szCs w:val="19"/>
              </w:rPr>
              <w:t>43</w:t>
            </w:r>
          </w:p>
        </w:tc>
        <w:tc>
          <w:tcPr>
            <w:tcW w:w="3814" w:type="dxa"/>
            <w:vAlign w:val="top"/>
          </w:tcPr>
          <w:p w14:paraId="6B07AB55">
            <w:pPr>
              <w:pStyle w:val="20"/>
              <w:spacing w:before="82" w:line="209" w:lineRule="auto"/>
              <w:ind w:left="124" w:right="8" w:hanging="20"/>
              <w:rPr>
                <w:sz w:val="19"/>
                <w:szCs w:val="19"/>
              </w:rPr>
            </w:pPr>
            <w:r>
              <w:rPr>
                <w:spacing w:val="-1"/>
                <w:sz w:val="19"/>
                <w:szCs w:val="19"/>
              </w:rPr>
              <w:t>耗能缓冲器电气安全装置功能有效，油量适宜，柱塞无</w:t>
            </w:r>
            <w:r>
              <w:rPr>
                <w:spacing w:val="15"/>
                <w:sz w:val="19"/>
                <w:szCs w:val="19"/>
              </w:rPr>
              <w:t xml:space="preserve"> </w:t>
            </w:r>
            <w:r>
              <w:rPr>
                <w:spacing w:val="-2"/>
                <w:sz w:val="19"/>
                <w:szCs w:val="19"/>
              </w:rPr>
              <w:t>锈蚀</w:t>
            </w:r>
          </w:p>
        </w:tc>
      </w:tr>
      <w:tr w14:paraId="09DCA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464ECD2E">
            <w:pPr>
              <w:pStyle w:val="20"/>
              <w:spacing w:before="90" w:line="215" w:lineRule="auto"/>
              <w:ind w:left="144"/>
              <w:rPr>
                <w:sz w:val="18"/>
                <w:szCs w:val="18"/>
              </w:rPr>
            </w:pPr>
            <w:r>
              <w:rPr>
                <w:spacing w:val="-6"/>
                <w:sz w:val="18"/>
                <w:szCs w:val="18"/>
              </w:rPr>
              <w:t>14</w:t>
            </w:r>
          </w:p>
        </w:tc>
        <w:tc>
          <w:tcPr>
            <w:tcW w:w="4196" w:type="dxa"/>
            <w:vAlign w:val="top"/>
          </w:tcPr>
          <w:p w14:paraId="7374849A">
            <w:pPr>
              <w:pStyle w:val="20"/>
              <w:spacing w:before="71" w:line="219" w:lineRule="auto"/>
              <w:ind w:left="80"/>
              <w:rPr>
                <w:sz w:val="19"/>
                <w:szCs w:val="19"/>
              </w:rPr>
            </w:pPr>
            <w:r>
              <w:rPr>
                <w:sz w:val="19"/>
                <w:szCs w:val="19"/>
              </w:rPr>
              <w:t>对重/平衡重块及其压板无松动，压板紧固</w:t>
            </w:r>
          </w:p>
        </w:tc>
        <w:tc>
          <w:tcPr>
            <w:tcW w:w="490" w:type="dxa"/>
            <w:vAlign w:val="top"/>
          </w:tcPr>
          <w:p w14:paraId="0E21BA7B">
            <w:pPr>
              <w:pStyle w:val="20"/>
              <w:spacing w:before="90" w:line="215" w:lineRule="auto"/>
              <w:ind w:left="144"/>
              <w:rPr>
                <w:sz w:val="19"/>
                <w:szCs w:val="19"/>
              </w:rPr>
            </w:pPr>
            <w:r>
              <w:rPr>
                <w:spacing w:val="-2"/>
                <w:sz w:val="19"/>
                <w:szCs w:val="19"/>
              </w:rPr>
              <w:t>44</w:t>
            </w:r>
          </w:p>
        </w:tc>
        <w:tc>
          <w:tcPr>
            <w:tcW w:w="3814" w:type="dxa"/>
            <w:vAlign w:val="top"/>
          </w:tcPr>
          <w:p w14:paraId="1CF1DA03">
            <w:pPr>
              <w:pStyle w:val="20"/>
              <w:spacing w:before="72" w:line="219" w:lineRule="auto"/>
              <w:ind w:left="125"/>
              <w:rPr>
                <w:sz w:val="19"/>
                <w:szCs w:val="19"/>
              </w:rPr>
            </w:pPr>
            <w:r>
              <w:rPr>
                <w:sz w:val="19"/>
                <w:szCs w:val="19"/>
              </w:rPr>
              <w:t>限速器张紧轮装置和电气安全装置工作正常</w:t>
            </w:r>
          </w:p>
        </w:tc>
      </w:tr>
      <w:tr w14:paraId="0A280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55" w:type="dxa"/>
            <w:vAlign w:val="top"/>
          </w:tcPr>
          <w:p w14:paraId="71F51355">
            <w:pPr>
              <w:pStyle w:val="20"/>
              <w:spacing w:before="179"/>
              <w:ind w:left="144"/>
              <w:rPr>
                <w:sz w:val="18"/>
                <w:szCs w:val="18"/>
              </w:rPr>
            </w:pPr>
            <w:r>
              <w:rPr>
                <w:spacing w:val="-6"/>
                <w:sz w:val="18"/>
                <w:szCs w:val="18"/>
              </w:rPr>
              <w:t>15</w:t>
            </w:r>
          </w:p>
        </w:tc>
        <w:tc>
          <w:tcPr>
            <w:tcW w:w="4196" w:type="dxa"/>
            <w:vAlign w:val="top"/>
          </w:tcPr>
          <w:p w14:paraId="56853287">
            <w:pPr>
              <w:pStyle w:val="20"/>
              <w:spacing w:before="162" w:line="219" w:lineRule="auto"/>
              <w:ind w:left="80"/>
              <w:rPr>
                <w:sz w:val="19"/>
                <w:szCs w:val="19"/>
              </w:rPr>
            </w:pPr>
            <w:r>
              <w:rPr>
                <w:spacing w:val="-1"/>
                <w:sz w:val="19"/>
                <w:szCs w:val="19"/>
              </w:rPr>
              <w:t>井道照明齐全，正常</w:t>
            </w:r>
          </w:p>
        </w:tc>
        <w:tc>
          <w:tcPr>
            <w:tcW w:w="490" w:type="dxa"/>
            <w:vAlign w:val="top"/>
          </w:tcPr>
          <w:p w14:paraId="2A02EB77">
            <w:pPr>
              <w:pStyle w:val="20"/>
              <w:spacing w:before="179"/>
              <w:ind w:left="144"/>
              <w:rPr>
                <w:sz w:val="19"/>
                <w:szCs w:val="19"/>
              </w:rPr>
            </w:pPr>
            <w:r>
              <w:rPr>
                <w:spacing w:val="-2"/>
                <w:sz w:val="19"/>
                <w:szCs w:val="19"/>
              </w:rPr>
              <w:t>45</w:t>
            </w:r>
          </w:p>
        </w:tc>
        <w:tc>
          <w:tcPr>
            <w:tcW w:w="3814" w:type="dxa"/>
            <w:vAlign w:val="top"/>
          </w:tcPr>
          <w:p w14:paraId="36D2BC89">
            <w:pPr>
              <w:pStyle w:val="20"/>
              <w:spacing w:before="42" w:line="224" w:lineRule="auto"/>
              <w:ind w:left="125" w:right="127" w:firstLine="19"/>
              <w:rPr>
                <w:sz w:val="19"/>
                <w:szCs w:val="19"/>
              </w:rPr>
            </w:pPr>
            <w:r>
              <w:rPr>
                <w:sz w:val="19"/>
                <w:szCs w:val="19"/>
              </w:rPr>
              <w:t>电动机与减速机联轴器连接无松动，弹性元件外观良</w:t>
            </w:r>
            <w:r>
              <w:rPr>
                <w:spacing w:val="12"/>
                <w:sz w:val="19"/>
                <w:szCs w:val="19"/>
              </w:rPr>
              <w:t xml:space="preserve"> </w:t>
            </w:r>
            <w:r>
              <w:rPr>
                <w:spacing w:val="-1"/>
                <w:sz w:val="19"/>
                <w:szCs w:val="19"/>
              </w:rPr>
              <w:t>好，无老化等现象</w:t>
            </w:r>
          </w:p>
        </w:tc>
      </w:tr>
      <w:tr w14:paraId="23C46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55" w:type="dxa"/>
            <w:vAlign w:val="top"/>
          </w:tcPr>
          <w:p w14:paraId="6D39D4A8">
            <w:pPr>
              <w:pStyle w:val="20"/>
              <w:spacing w:before="91" w:line="224" w:lineRule="auto"/>
              <w:ind w:left="144"/>
              <w:rPr>
                <w:sz w:val="18"/>
                <w:szCs w:val="18"/>
              </w:rPr>
            </w:pPr>
            <w:r>
              <w:rPr>
                <w:spacing w:val="-6"/>
                <w:sz w:val="18"/>
                <w:szCs w:val="18"/>
              </w:rPr>
              <w:t>16</w:t>
            </w:r>
          </w:p>
        </w:tc>
        <w:tc>
          <w:tcPr>
            <w:tcW w:w="4196" w:type="dxa"/>
            <w:vAlign w:val="top"/>
          </w:tcPr>
          <w:p w14:paraId="0B66ED29">
            <w:pPr>
              <w:pStyle w:val="20"/>
              <w:spacing w:before="73" w:line="219" w:lineRule="auto"/>
              <w:ind w:left="80"/>
              <w:rPr>
                <w:sz w:val="19"/>
                <w:szCs w:val="19"/>
              </w:rPr>
            </w:pPr>
            <w:r>
              <w:rPr>
                <w:spacing w:val="-1"/>
                <w:sz w:val="19"/>
                <w:szCs w:val="19"/>
              </w:rPr>
              <w:t>轿厢照明、风扇、应急照明工作正常</w:t>
            </w:r>
          </w:p>
        </w:tc>
        <w:tc>
          <w:tcPr>
            <w:tcW w:w="490" w:type="dxa"/>
            <w:vAlign w:val="top"/>
          </w:tcPr>
          <w:p w14:paraId="586E66B6">
            <w:pPr>
              <w:pStyle w:val="20"/>
              <w:spacing w:before="91" w:line="224" w:lineRule="auto"/>
              <w:ind w:left="144"/>
              <w:rPr>
                <w:sz w:val="19"/>
                <w:szCs w:val="19"/>
              </w:rPr>
            </w:pPr>
            <w:r>
              <w:rPr>
                <w:spacing w:val="-2"/>
                <w:sz w:val="19"/>
                <w:szCs w:val="19"/>
              </w:rPr>
              <w:t>46</w:t>
            </w:r>
          </w:p>
        </w:tc>
        <w:tc>
          <w:tcPr>
            <w:tcW w:w="3814" w:type="dxa"/>
            <w:vAlign w:val="top"/>
          </w:tcPr>
          <w:p w14:paraId="12C9B2CA">
            <w:pPr>
              <w:pStyle w:val="20"/>
              <w:spacing w:before="73" w:line="219" w:lineRule="auto"/>
              <w:ind w:left="125"/>
              <w:rPr>
                <w:sz w:val="19"/>
                <w:szCs w:val="19"/>
              </w:rPr>
            </w:pPr>
            <w:r>
              <w:rPr>
                <w:spacing w:val="-1"/>
                <w:sz w:val="19"/>
                <w:szCs w:val="19"/>
              </w:rPr>
              <w:t>驱动轮，导向轮承部无异常声响，无振动，润滑良好</w:t>
            </w:r>
          </w:p>
        </w:tc>
      </w:tr>
      <w:tr w14:paraId="28C86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3396E4A9">
            <w:pPr>
              <w:pStyle w:val="20"/>
              <w:spacing w:before="91" w:line="214" w:lineRule="auto"/>
              <w:ind w:left="144"/>
              <w:rPr>
                <w:sz w:val="18"/>
                <w:szCs w:val="18"/>
              </w:rPr>
            </w:pPr>
            <w:r>
              <w:rPr>
                <w:spacing w:val="-6"/>
                <w:sz w:val="18"/>
                <w:szCs w:val="18"/>
              </w:rPr>
              <w:t>17</w:t>
            </w:r>
          </w:p>
        </w:tc>
        <w:tc>
          <w:tcPr>
            <w:tcW w:w="4196" w:type="dxa"/>
            <w:vAlign w:val="top"/>
          </w:tcPr>
          <w:p w14:paraId="5CACE285">
            <w:pPr>
              <w:pStyle w:val="20"/>
              <w:spacing w:before="73" w:line="219" w:lineRule="auto"/>
              <w:ind w:left="80"/>
              <w:rPr>
                <w:sz w:val="19"/>
                <w:szCs w:val="19"/>
              </w:rPr>
            </w:pPr>
            <w:r>
              <w:rPr>
                <w:spacing w:val="-1"/>
                <w:sz w:val="19"/>
                <w:szCs w:val="19"/>
              </w:rPr>
              <w:t>轿厢检修开关、停止装置工作正常</w:t>
            </w:r>
          </w:p>
        </w:tc>
        <w:tc>
          <w:tcPr>
            <w:tcW w:w="490" w:type="dxa"/>
            <w:vAlign w:val="top"/>
          </w:tcPr>
          <w:p w14:paraId="2D0DE39D">
            <w:pPr>
              <w:pStyle w:val="20"/>
              <w:spacing w:before="91" w:line="214" w:lineRule="auto"/>
              <w:ind w:left="144"/>
              <w:rPr>
                <w:sz w:val="19"/>
                <w:szCs w:val="19"/>
              </w:rPr>
            </w:pPr>
            <w:r>
              <w:rPr>
                <w:spacing w:val="-2"/>
                <w:sz w:val="19"/>
                <w:szCs w:val="19"/>
              </w:rPr>
              <w:t>47</w:t>
            </w:r>
          </w:p>
        </w:tc>
        <w:tc>
          <w:tcPr>
            <w:tcW w:w="3814" w:type="dxa"/>
            <w:vAlign w:val="top"/>
          </w:tcPr>
          <w:p w14:paraId="66DA1473">
            <w:pPr>
              <w:pStyle w:val="20"/>
              <w:spacing w:before="73" w:line="219" w:lineRule="auto"/>
              <w:ind w:left="125"/>
              <w:rPr>
                <w:sz w:val="19"/>
                <w:szCs w:val="19"/>
              </w:rPr>
            </w:pPr>
            <w:r>
              <w:rPr>
                <w:sz w:val="19"/>
                <w:szCs w:val="19"/>
              </w:rPr>
              <w:t>曳引轮槽磨损量不超过制造单位要求</w:t>
            </w:r>
          </w:p>
        </w:tc>
      </w:tr>
      <w:tr w14:paraId="3EF2E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02D7BC20">
            <w:pPr>
              <w:pStyle w:val="20"/>
              <w:spacing w:before="91" w:line="214" w:lineRule="auto"/>
              <w:ind w:left="134"/>
              <w:rPr>
                <w:sz w:val="18"/>
                <w:szCs w:val="18"/>
              </w:rPr>
            </w:pPr>
            <w:r>
              <w:rPr>
                <w:spacing w:val="-6"/>
                <w:sz w:val="18"/>
                <w:szCs w:val="18"/>
              </w:rPr>
              <w:t>18</w:t>
            </w:r>
          </w:p>
        </w:tc>
        <w:tc>
          <w:tcPr>
            <w:tcW w:w="4196" w:type="dxa"/>
            <w:vAlign w:val="top"/>
          </w:tcPr>
          <w:p w14:paraId="5D752277">
            <w:pPr>
              <w:pStyle w:val="20"/>
              <w:spacing w:before="73" w:line="219" w:lineRule="auto"/>
              <w:ind w:left="80"/>
              <w:rPr>
                <w:sz w:val="19"/>
                <w:szCs w:val="19"/>
              </w:rPr>
            </w:pPr>
            <w:r>
              <w:rPr>
                <w:spacing w:val="-1"/>
                <w:sz w:val="19"/>
                <w:szCs w:val="19"/>
              </w:rPr>
              <w:t>轿内报警装置、对讲系统工作正常</w:t>
            </w:r>
          </w:p>
        </w:tc>
        <w:tc>
          <w:tcPr>
            <w:tcW w:w="490" w:type="dxa"/>
            <w:vAlign w:val="top"/>
          </w:tcPr>
          <w:p w14:paraId="0EF22011">
            <w:pPr>
              <w:pStyle w:val="20"/>
              <w:spacing w:before="91" w:line="214" w:lineRule="auto"/>
              <w:ind w:left="144"/>
              <w:rPr>
                <w:sz w:val="19"/>
                <w:szCs w:val="19"/>
              </w:rPr>
            </w:pPr>
            <w:r>
              <w:rPr>
                <w:spacing w:val="-2"/>
                <w:sz w:val="19"/>
                <w:szCs w:val="19"/>
              </w:rPr>
              <w:t>48</w:t>
            </w:r>
          </w:p>
        </w:tc>
        <w:tc>
          <w:tcPr>
            <w:tcW w:w="3814" w:type="dxa"/>
            <w:vAlign w:val="top"/>
          </w:tcPr>
          <w:p w14:paraId="49AD2D11">
            <w:pPr>
              <w:pStyle w:val="20"/>
              <w:spacing w:before="73" w:line="219" w:lineRule="auto"/>
              <w:ind w:left="125"/>
              <w:rPr>
                <w:sz w:val="19"/>
                <w:szCs w:val="19"/>
              </w:rPr>
            </w:pPr>
            <w:r>
              <w:rPr>
                <w:spacing w:val="-1"/>
                <w:sz w:val="19"/>
                <w:szCs w:val="19"/>
              </w:rPr>
              <w:t>制动器动作状态监测装置工作正常，制动器动作可靠</w:t>
            </w:r>
          </w:p>
        </w:tc>
      </w:tr>
      <w:tr w14:paraId="1972A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4C644311">
            <w:pPr>
              <w:pStyle w:val="20"/>
              <w:spacing w:before="91" w:line="214" w:lineRule="auto"/>
              <w:ind w:left="124"/>
              <w:rPr>
                <w:sz w:val="18"/>
                <w:szCs w:val="18"/>
              </w:rPr>
            </w:pPr>
            <w:r>
              <w:rPr>
                <w:spacing w:val="-6"/>
                <w:sz w:val="18"/>
                <w:szCs w:val="18"/>
              </w:rPr>
              <w:t>19</w:t>
            </w:r>
          </w:p>
        </w:tc>
        <w:tc>
          <w:tcPr>
            <w:tcW w:w="4196" w:type="dxa"/>
            <w:vAlign w:val="top"/>
          </w:tcPr>
          <w:p w14:paraId="27747B73">
            <w:pPr>
              <w:pStyle w:val="20"/>
              <w:spacing w:before="72" w:line="219" w:lineRule="auto"/>
              <w:ind w:left="80"/>
              <w:rPr>
                <w:sz w:val="19"/>
                <w:szCs w:val="19"/>
              </w:rPr>
            </w:pPr>
            <w:r>
              <w:rPr>
                <w:spacing w:val="-1"/>
                <w:sz w:val="19"/>
                <w:szCs w:val="19"/>
              </w:rPr>
              <w:t>轿内显示、指令按钮、Ic卡系统齐全，有效</w:t>
            </w:r>
          </w:p>
        </w:tc>
        <w:tc>
          <w:tcPr>
            <w:tcW w:w="490" w:type="dxa"/>
            <w:vAlign w:val="top"/>
          </w:tcPr>
          <w:p w14:paraId="08A2EDB7">
            <w:pPr>
              <w:pStyle w:val="20"/>
              <w:spacing w:before="91" w:line="214" w:lineRule="auto"/>
              <w:ind w:left="144"/>
              <w:rPr>
                <w:sz w:val="19"/>
                <w:szCs w:val="19"/>
              </w:rPr>
            </w:pPr>
            <w:r>
              <w:rPr>
                <w:spacing w:val="-2"/>
                <w:sz w:val="19"/>
                <w:szCs w:val="19"/>
              </w:rPr>
              <w:t>49</w:t>
            </w:r>
          </w:p>
        </w:tc>
        <w:tc>
          <w:tcPr>
            <w:tcW w:w="3814" w:type="dxa"/>
            <w:vAlign w:val="top"/>
          </w:tcPr>
          <w:p w14:paraId="5F1205BA">
            <w:pPr>
              <w:pStyle w:val="20"/>
              <w:spacing w:before="73" w:line="219" w:lineRule="auto"/>
              <w:ind w:left="84"/>
              <w:rPr>
                <w:sz w:val="19"/>
                <w:szCs w:val="19"/>
              </w:rPr>
            </w:pPr>
            <w:r>
              <w:rPr>
                <w:spacing w:val="-1"/>
                <w:sz w:val="19"/>
                <w:szCs w:val="19"/>
              </w:rPr>
              <w:t>控制柜内各接线端子各接线紧固，整齐，线号齐全清晰</w:t>
            </w:r>
          </w:p>
        </w:tc>
      </w:tr>
      <w:tr w14:paraId="0B9C1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55" w:type="dxa"/>
            <w:vAlign w:val="top"/>
          </w:tcPr>
          <w:p w14:paraId="46239235">
            <w:pPr>
              <w:pStyle w:val="20"/>
              <w:spacing w:before="181"/>
              <w:ind w:left="124"/>
              <w:rPr>
                <w:sz w:val="18"/>
                <w:szCs w:val="18"/>
              </w:rPr>
            </w:pPr>
            <w:r>
              <w:rPr>
                <w:spacing w:val="-3"/>
                <w:sz w:val="18"/>
                <w:szCs w:val="18"/>
              </w:rPr>
              <w:t>20</w:t>
            </w:r>
          </w:p>
        </w:tc>
        <w:tc>
          <w:tcPr>
            <w:tcW w:w="4196" w:type="dxa"/>
            <w:vAlign w:val="top"/>
          </w:tcPr>
          <w:p w14:paraId="037A31F8">
            <w:pPr>
              <w:pStyle w:val="20"/>
              <w:spacing w:before="51" w:line="219" w:lineRule="auto"/>
              <w:ind w:left="79" w:right="126" w:hanging="19"/>
              <w:rPr>
                <w:sz w:val="19"/>
                <w:szCs w:val="19"/>
              </w:rPr>
            </w:pPr>
            <w:r>
              <w:rPr>
                <w:spacing w:val="1"/>
                <w:sz w:val="19"/>
                <w:szCs w:val="19"/>
              </w:rPr>
              <w:t>轿门防撞击保护装置，(安全触板、光幕、光电等)</w:t>
            </w:r>
            <w:r>
              <w:rPr>
                <w:spacing w:val="15"/>
                <w:sz w:val="19"/>
                <w:szCs w:val="19"/>
              </w:rPr>
              <w:t xml:space="preserve"> </w:t>
            </w:r>
            <w:r>
              <w:rPr>
                <w:spacing w:val="-2"/>
                <w:sz w:val="19"/>
                <w:szCs w:val="19"/>
              </w:rPr>
              <w:t>功能有效</w:t>
            </w:r>
          </w:p>
        </w:tc>
        <w:tc>
          <w:tcPr>
            <w:tcW w:w="490" w:type="dxa"/>
            <w:vAlign w:val="top"/>
          </w:tcPr>
          <w:p w14:paraId="6CD8243A">
            <w:pPr>
              <w:pStyle w:val="20"/>
              <w:spacing w:before="181"/>
              <w:ind w:left="144"/>
              <w:rPr>
                <w:sz w:val="19"/>
                <w:szCs w:val="19"/>
              </w:rPr>
            </w:pPr>
            <w:r>
              <w:rPr>
                <w:spacing w:val="-3"/>
                <w:sz w:val="19"/>
                <w:szCs w:val="19"/>
              </w:rPr>
              <w:t>50</w:t>
            </w:r>
          </w:p>
        </w:tc>
        <w:tc>
          <w:tcPr>
            <w:tcW w:w="3814" w:type="dxa"/>
            <w:vAlign w:val="top"/>
          </w:tcPr>
          <w:p w14:paraId="469C3921">
            <w:pPr>
              <w:pStyle w:val="20"/>
              <w:spacing w:before="163" w:line="219" w:lineRule="auto"/>
              <w:ind w:left="125"/>
              <w:rPr>
                <w:sz w:val="19"/>
                <w:szCs w:val="19"/>
              </w:rPr>
            </w:pPr>
            <w:r>
              <w:rPr>
                <w:spacing w:val="-1"/>
                <w:sz w:val="19"/>
                <w:szCs w:val="19"/>
              </w:rPr>
              <w:t>控制柜各仪表显示正常</w:t>
            </w:r>
          </w:p>
        </w:tc>
      </w:tr>
      <w:tr w14:paraId="78AC2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455" w:type="dxa"/>
            <w:vAlign w:val="top"/>
          </w:tcPr>
          <w:p w14:paraId="0D7B0102">
            <w:pPr>
              <w:pStyle w:val="20"/>
              <w:spacing w:before="172" w:line="241" w:lineRule="auto"/>
              <w:ind w:left="124"/>
              <w:rPr>
                <w:sz w:val="18"/>
                <w:szCs w:val="18"/>
              </w:rPr>
            </w:pPr>
            <w:r>
              <w:rPr>
                <w:spacing w:val="-3"/>
                <w:sz w:val="18"/>
                <w:szCs w:val="18"/>
              </w:rPr>
              <w:t>21</w:t>
            </w:r>
          </w:p>
        </w:tc>
        <w:tc>
          <w:tcPr>
            <w:tcW w:w="4196" w:type="dxa"/>
            <w:vAlign w:val="top"/>
          </w:tcPr>
          <w:p w14:paraId="08CBF60E">
            <w:pPr>
              <w:pStyle w:val="20"/>
              <w:spacing w:before="154" w:line="219" w:lineRule="auto"/>
              <w:ind w:left="80"/>
              <w:rPr>
                <w:sz w:val="19"/>
                <w:szCs w:val="19"/>
              </w:rPr>
            </w:pPr>
            <w:r>
              <w:rPr>
                <w:spacing w:val="-1"/>
                <w:sz w:val="19"/>
                <w:szCs w:val="19"/>
              </w:rPr>
              <w:t>轿门门锁电气触点清洁，触点接触良好，接线可靠</w:t>
            </w:r>
          </w:p>
        </w:tc>
        <w:tc>
          <w:tcPr>
            <w:tcW w:w="490" w:type="dxa"/>
            <w:vAlign w:val="top"/>
          </w:tcPr>
          <w:p w14:paraId="38A64DA4">
            <w:pPr>
              <w:pStyle w:val="20"/>
              <w:spacing w:before="171"/>
              <w:ind w:left="144"/>
              <w:rPr>
                <w:sz w:val="19"/>
                <w:szCs w:val="19"/>
              </w:rPr>
            </w:pPr>
            <w:r>
              <w:rPr>
                <w:spacing w:val="-3"/>
                <w:sz w:val="19"/>
                <w:szCs w:val="19"/>
              </w:rPr>
              <w:t>51</w:t>
            </w:r>
          </w:p>
        </w:tc>
        <w:tc>
          <w:tcPr>
            <w:tcW w:w="3814" w:type="dxa"/>
            <w:vAlign w:val="top"/>
          </w:tcPr>
          <w:p w14:paraId="6825A67D">
            <w:pPr>
              <w:pStyle w:val="20"/>
              <w:spacing w:before="33" w:line="218" w:lineRule="auto"/>
              <w:ind w:left="124" w:right="188" w:hanging="20"/>
              <w:rPr>
                <w:sz w:val="19"/>
                <w:szCs w:val="19"/>
              </w:rPr>
            </w:pPr>
            <w:r>
              <w:rPr>
                <w:spacing w:val="-1"/>
                <w:sz w:val="19"/>
                <w:szCs w:val="19"/>
              </w:rPr>
              <w:t>井道、对重、轿顶各反绳轮轴承部无异常声响，无振</w:t>
            </w:r>
            <w:r>
              <w:rPr>
                <w:spacing w:val="14"/>
                <w:sz w:val="19"/>
                <w:szCs w:val="19"/>
              </w:rPr>
              <w:t xml:space="preserve"> </w:t>
            </w:r>
            <w:r>
              <w:rPr>
                <w:spacing w:val="-1"/>
                <w:sz w:val="19"/>
                <w:szCs w:val="19"/>
              </w:rPr>
              <w:t>动，润 滑良好</w:t>
            </w:r>
          </w:p>
        </w:tc>
      </w:tr>
      <w:tr w14:paraId="0C1EF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14A43E76">
            <w:pPr>
              <w:pStyle w:val="20"/>
              <w:spacing w:before="93" w:line="212" w:lineRule="auto"/>
              <w:ind w:left="124"/>
              <w:rPr>
                <w:sz w:val="18"/>
                <w:szCs w:val="18"/>
              </w:rPr>
            </w:pPr>
            <w:r>
              <w:rPr>
                <w:spacing w:val="-3"/>
                <w:sz w:val="18"/>
                <w:szCs w:val="18"/>
              </w:rPr>
              <w:t>22</w:t>
            </w:r>
          </w:p>
        </w:tc>
        <w:tc>
          <w:tcPr>
            <w:tcW w:w="4196" w:type="dxa"/>
            <w:vAlign w:val="top"/>
          </w:tcPr>
          <w:p w14:paraId="34C40E26">
            <w:pPr>
              <w:pStyle w:val="20"/>
              <w:spacing w:before="76" w:line="220" w:lineRule="auto"/>
              <w:ind w:left="80"/>
              <w:rPr>
                <w:sz w:val="19"/>
                <w:szCs w:val="19"/>
              </w:rPr>
            </w:pPr>
            <w:r>
              <w:rPr>
                <w:spacing w:val="-1"/>
                <w:sz w:val="19"/>
                <w:szCs w:val="19"/>
              </w:rPr>
              <w:t>轿门运行开启和关闭工作正常</w:t>
            </w:r>
          </w:p>
        </w:tc>
        <w:tc>
          <w:tcPr>
            <w:tcW w:w="490" w:type="dxa"/>
            <w:vAlign w:val="top"/>
          </w:tcPr>
          <w:p w14:paraId="3CBA18A3">
            <w:pPr>
              <w:pStyle w:val="20"/>
              <w:spacing w:before="93" w:line="212" w:lineRule="auto"/>
              <w:ind w:left="144"/>
              <w:rPr>
                <w:sz w:val="19"/>
                <w:szCs w:val="19"/>
              </w:rPr>
            </w:pPr>
            <w:r>
              <w:rPr>
                <w:spacing w:val="-3"/>
                <w:sz w:val="19"/>
                <w:szCs w:val="19"/>
              </w:rPr>
              <w:t>52</w:t>
            </w:r>
          </w:p>
        </w:tc>
        <w:tc>
          <w:tcPr>
            <w:tcW w:w="3814" w:type="dxa"/>
            <w:vAlign w:val="top"/>
          </w:tcPr>
          <w:p w14:paraId="3369DAB5">
            <w:pPr>
              <w:pStyle w:val="20"/>
              <w:spacing w:before="75" w:line="219" w:lineRule="auto"/>
              <w:ind w:left="125"/>
              <w:rPr>
                <w:sz w:val="19"/>
                <w:szCs w:val="19"/>
              </w:rPr>
            </w:pPr>
            <w:r>
              <w:rPr>
                <w:spacing w:val="-1"/>
                <w:sz w:val="19"/>
                <w:szCs w:val="19"/>
              </w:rPr>
              <w:t>悬挂装置、补偿绳磨损量、断丝数不超过要求</w:t>
            </w:r>
          </w:p>
        </w:tc>
      </w:tr>
      <w:tr w14:paraId="08A72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55" w:type="dxa"/>
            <w:vAlign w:val="top"/>
          </w:tcPr>
          <w:p w14:paraId="59B742E5">
            <w:pPr>
              <w:pStyle w:val="20"/>
              <w:spacing w:before="93" w:line="222" w:lineRule="auto"/>
              <w:ind w:left="124"/>
              <w:rPr>
                <w:sz w:val="18"/>
                <w:szCs w:val="18"/>
              </w:rPr>
            </w:pPr>
            <w:r>
              <w:rPr>
                <w:spacing w:val="-3"/>
                <w:sz w:val="18"/>
                <w:szCs w:val="18"/>
              </w:rPr>
              <w:t>23</w:t>
            </w:r>
          </w:p>
        </w:tc>
        <w:tc>
          <w:tcPr>
            <w:tcW w:w="4196" w:type="dxa"/>
            <w:vAlign w:val="top"/>
          </w:tcPr>
          <w:p w14:paraId="5778441C">
            <w:pPr>
              <w:pStyle w:val="20"/>
              <w:spacing w:before="75" w:line="219" w:lineRule="auto"/>
              <w:ind w:left="80"/>
              <w:rPr>
                <w:sz w:val="19"/>
                <w:szCs w:val="19"/>
              </w:rPr>
            </w:pPr>
            <w:r>
              <w:rPr>
                <w:spacing w:val="-1"/>
                <w:sz w:val="19"/>
                <w:szCs w:val="19"/>
              </w:rPr>
              <w:t>轿厢平层准确度符合标准值</w:t>
            </w:r>
          </w:p>
        </w:tc>
        <w:tc>
          <w:tcPr>
            <w:tcW w:w="490" w:type="dxa"/>
            <w:vAlign w:val="top"/>
          </w:tcPr>
          <w:p w14:paraId="0E959DA7">
            <w:pPr>
              <w:pStyle w:val="20"/>
              <w:spacing w:before="93" w:line="222" w:lineRule="auto"/>
              <w:ind w:left="144"/>
              <w:rPr>
                <w:sz w:val="19"/>
                <w:szCs w:val="19"/>
              </w:rPr>
            </w:pPr>
            <w:r>
              <w:rPr>
                <w:spacing w:val="-3"/>
                <w:sz w:val="19"/>
                <w:szCs w:val="19"/>
              </w:rPr>
              <w:t>53</w:t>
            </w:r>
          </w:p>
        </w:tc>
        <w:tc>
          <w:tcPr>
            <w:tcW w:w="3814" w:type="dxa"/>
            <w:vAlign w:val="top"/>
          </w:tcPr>
          <w:p w14:paraId="161CEE40">
            <w:pPr>
              <w:pStyle w:val="20"/>
              <w:spacing w:before="75" w:line="219" w:lineRule="auto"/>
              <w:ind w:left="125"/>
              <w:rPr>
                <w:sz w:val="19"/>
                <w:szCs w:val="19"/>
              </w:rPr>
            </w:pPr>
            <w:r>
              <w:rPr>
                <w:spacing w:val="-1"/>
                <w:sz w:val="19"/>
                <w:szCs w:val="19"/>
              </w:rPr>
              <w:t>绳头组合螺母无松动</w:t>
            </w:r>
          </w:p>
        </w:tc>
      </w:tr>
      <w:tr w14:paraId="6C18D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3B34177A">
            <w:pPr>
              <w:pStyle w:val="20"/>
              <w:spacing w:before="93" w:line="212" w:lineRule="auto"/>
              <w:ind w:left="124"/>
              <w:rPr>
                <w:sz w:val="18"/>
                <w:szCs w:val="18"/>
              </w:rPr>
            </w:pPr>
            <w:r>
              <w:rPr>
                <w:spacing w:val="-3"/>
                <w:sz w:val="18"/>
                <w:szCs w:val="18"/>
              </w:rPr>
              <w:t>24</w:t>
            </w:r>
          </w:p>
        </w:tc>
        <w:tc>
          <w:tcPr>
            <w:tcW w:w="4196" w:type="dxa"/>
            <w:vAlign w:val="top"/>
          </w:tcPr>
          <w:p w14:paraId="47A7B871">
            <w:pPr>
              <w:pStyle w:val="20"/>
              <w:spacing w:before="75" w:line="219" w:lineRule="auto"/>
              <w:ind w:left="80"/>
              <w:rPr>
                <w:sz w:val="19"/>
                <w:szCs w:val="19"/>
              </w:rPr>
            </w:pPr>
            <w:r>
              <w:rPr>
                <w:spacing w:val="-1"/>
                <w:sz w:val="19"/>
                <w:szCs w:val="19"/>
              </w:rPr>
              <w:t>层站召唤、层楼显示齐全，有效</w:t>
            </w:r>
          </w:p>
        </w:tc>
        <w:tc>
          <w:tcPr>
            <w:tcW w:w="490" w:type="dxa"/>
            <w:vAlign w:val="top"/>
          </w:tcPr>
          <w:p w14:paraId="29E5D925">
            <w:pPr>
              <w:pStyle w:val="20"/>
              <w:spacing w:before="93" w:line="212" w:lineRule="auto"/>
              <w:ind w:left="144"/>
              <w:rPr>
                <w:sz w:val="19"/>
                <w:szCs w:val="19"/>
              </w:rPr>
            </w:pPr>
            <w:r>
              <w:rPr>
                <w:spacing w:val="-3"/>
                <w:sz w:val="19"/>
                <w:szCs w:val="19"/>
              </w:rPr>
              <w:t>54</w:t>
            </w:r>
          </w:p>
        </w:tc>
        <w:tc>
          <w:tcPr>
            <w:tcW w:w="3814" w:type="dxa"/>
            <w:vAlign w:val="top"/>
          </w:tcPr>
          <w:p w14:paraId="77E42428">
            <w:pPr>
              <w:pStyle w:val="20"/>
              <w:spacing w:before="75" w:line="219" w:lineRule="auto"/>
              <w:ind w:left="125"/>
              <w:rPr>
                <w:sz w:val="19"/>
                <w:szCs w:val="19"/>
              </w:rPr>
            </w:pPr>
            <w:r>
              <w:rPr>
                <w:sz w:val="19"/>
                <w:szCs w:val="19"/>
              </w:rPr>
              <w:t>限速器钢丝绳鹰损量、断丝数不超过制造单位要求</w:t>
            </w:r>
          </w:p>
        </w:tc>
      </w:tr>
      <w:tr w14:paraId="4E37D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55" w:type="dxa"/>
            <w:vAlign w:val="top"/>
          </w:tcPr>
          <w:p w14:paraId="73BAD6D5">
            <w:pPr>
              <w:pStyle w:val="20"/>
              <w:spacing w:before="93" w:line="222" w:lineRule="auto"/>
              <w:ind w:left="124"/>
              <w:rPr>
                <w:sz w:val="18"/>
                <w:szCs w:val="18"/>
              </w:rPr>
            </w:pPr>
            <w:r>
              <w:rPr>
                <w:spacing w:val="-3"/>
                <w:sz w:val="18"/>
                <w:szCs w:val="18"/>
              </w:rPr>
              <w:t>25</w:t>
            </w:r>
          </w:p>
        </w:tc>
        <w:tc>
          <w:tcPr>
            <w:tcW w:w="4196" w:type="dxa"/>
            <w:vAlign w:val="top"/>
          </w:tcPr>
          <w:p w14:paraId="4564FC18">
            <w:pPr>
              <w:pStyle w:val="20"/>
              <w:spacing w:before="75" w:line="219" w:lineRule="auto"/>
              <w:ind w:left="80"/>
              <w:rPr>
                <w:sz w:val="19"/>
                <w:szCs w:val="19"/>
              </w:rPr>
            </w:pPr>
            <w:r>
              <w:rPr>
                <w:spacing w:val="-1"/>
                <w:sz w:val="19"/>
                <w:szCs w:val="19"/>
              </w:rPr>
              <w:t>层门地坎清洁</w:t>
            </w:r>
          </w:p>
        </w:tc>
        <w:tc>
          <w:tcPr>
            <w:tcW w:w="490" w:type="dxa"/>
            <w:vAlign w:val="top"/>
          </w:tcPr>
          <w:p w14:paraId="4EE7BA3C">
            <w:pPr>
              <w:pStyle w:val="20"/>
              <w:spacing w:before="93" w:line="222" w:lineRule="auto"/>
              <w:ind w:left="144"/>
              <w:rPr>
                <w:sz w:val="19"/>
                <w:szCs w:val="19"/>
              </w:rPr>
            </w:pPr>
            <w:r>
              <w:rPr>
                <w:spacing w:val="-3"/>
                <w:sz w:val="19"/>
                <w:szCs w:val="19"/>
              </w:rPr>
              <w:t>55</w:t>
            </w:r>
          </w:p>
        </w:tc>
        <w:tc>
          <w:tcPr>
            <w:tcW w:w="3814" w:type="dxa"/>
            <w:vAlign w:val="top"/>
          </w:tcPr>
          <w:p w14:paraId="02C3EE11">
            <w:pPr>
              <w:pStyle w:val="20"/>
              <w:spacing w:before="75" w:line="219" w:lineRule="auto"/>
              <w:ind w:left="125"/>
              <w:rPr>
                <w:sz w:val="19"/>
                <w:szCs w:val="19"/>
              </w:rPr>
            </w:pPr>
            <w:r>
              <w:rPr>
                <w:spacing w:val="-1"/>
                <w:sz w:val="19"/>
                <w:szCs w:val="19"/>
              </w:rPr>
              <w:t>层门、轿门门扇、门扇各相关间隙符合标准值</w:t>
            </w:r>
          </w:p>
        </w:tc>
      </w:tr>
      <w:tr w14:paraId="2E881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328D8A8F">
            <w:pPr>
              <w:pStyle w:val="20"/>
              <w:spacing w:before="93" w:line="212" w:lineRule="auto"/>
              <w:ind w:left="124"/>
              <w:rPr>
                <w:sz w:val="18"/>
                <w:szCs w:val="18"/>
              </w:rPr>
            </w:pPr>
            <w:r>
              <w:rPr>
                <w:spacing w:val="-3"/>
                <w:sz w:val="18"/>
                <w:szCs w:val="18"/>
              </w:rPr>
              <w:t>26</w:t>
            </w:r>
          </w:p>
        </w:tc>
        <w:tc>
          <w:tcPr>
            <w:tcW w:w="4196" w:type="dxa"/>
            <w:vAlign w:val="top"/>
          </w:tcPr>
          <w:p w14:paraId="4D53CF51">
            <w:pPr>
              <w:pStyle w:val="20"/>
              <w:spacing w:before="75" w:line="219" w:lineRule="auto"/>
              <w:ind w:left="80"/>
              <w:rPr>
                <w:sz w:val="19"/>
                <w:szCs w:val="19"/>
              </w:rPr>
            </w:pPr>
            <w:r>
              <w:rPr>
                <w:spacing w:val="-1"/>
                <w:sz w:val="19"/>
                <w:szCs w:val="19"/>
              </w:rPr>
              <w:t>层门自动关门装置正常</w:t>
            </w:r>
          </w:p>
        </w:tc>
        <w:tc>
          <w:tcPr>
            <w:tcW w:w="490" w:type="dxa"/>
            <w:vAlign w:val="top"/>
          </w:tcPr>
          <w:p w14:paraId="20B10B9D">
            <w:pPr>
              <w:pStyle w:val="20"/>
              <w:spacing w:before="93" w:line="212" w:lineRule="auto"/>
              <w:ind w:left="144"/>
              <w:rPr>
                <w:sz w:val="19"/>
                <w:szCs w:val="19"/>
              </w:rPr>
            </w:pPr>
            <w:r>
              <w:rPr>
                <w:spacing w:val="-3"/>
                <w:sz w:val="19"/>
                <w:szCs w:val="19"/>
              </w:rPr>
              <w:t>56</w:t>
            </w:r>
          </w:p>
        </w:tc>
        <w:tc>
          <w:tcPr>
            <w:tcW w:w="3814" w:type="dxa"/>
            <w:vAlign w:val="top"/>
          </w:tcPr>
          <w:p w14:paraId="5AC17620">
            <w:pPr>
              <w:pStyle w:val="20"/>
              <w:spacing w:before="75" w:line="220" w:lineRule="auto"/>
              <w:ind w:left="125"/>
              <w:rPr>
                <w:sz w:val="19"/>
                <w:szCs w:val="19"/>
              </w:rPr>
            </w:pPr>
            <w:r>
              <w:rPr>
                <w:spacing w:val="-1"/>
                <w:sz w:val="19"/>
                <w:szCs w:val="19"/>
              </w:rPr>
              <w:t>轿门开门限制装置工作正常</w:t>
            </w:r>
          </w:p>
        </w:tc>
      </w:tr>
      <w:tr w14:paraId="00BDB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55" w:type="dxa"/>
            <w:vAlign w:val="top"/>
          </w:tcPr>
          <w:p w14:paraId="39681E65">
            <w:pPr>
              <w:pStyle w:val="20"/>
              <w:spacing w:before="212"/>
              <w:ind w:left="124"/>
              <w:rPr>
                <w:sz w:val="18"/>
                <w:szCs w:val="18"/>
              </w:rPr>
            </w:pPr>
            <w:r>
              <w:rPr>
                <w:spacing w:val="-3"/>
                <w:sz w:val="18"/>
                <w:szCs w:val="18"/>
              </w:rPr>
              <w:t>27</w:t>
            </w:r>
          </w:p>
        </w:tc>
        <w:tc>
          <w:tcPr>
            <w:tcW w:w="4196" w:type="dxa"/>
            <w:vAlign w:val="top"/>
          </w:tcPr>
          <w:p w14:paraId="240951BE">
            <w:pPr>
              <w:pStyle w:val="20"/>
              <w:spacing w:before="125" w:line="207" w:lineRule="auto"/>
              <w:ind w:left="80" w:right="332"/>
              <w:rPr>
                <w:sz w:val="19"/>
                <w:szCs w:val="19"/>
              </w:rPr>
            </w:pPr>
            <w:r>
              <w:rPr>
                <w:spacing w:val="-1"/>
                <w:sz w:val="19"/>
                <w:szCs w:val="19"/>
              </w:rPr>
              <w:t>层门门锁自动复位用层门钥匙打开手动开锁装置</w:t>
            </w:r>
            <w:r>
              <w:rPr>
                <w:spacing w:val="12"/>
                <w:sz w:val="19"/>
                <w:szCs w:val="19"/>
              </w:rPr>
              <w:t xml:space="preserve"> </w:t>
            </w:r>
            <w:r>
              <w:rPr>
                <w:spacing w:val="-1"/>
                <w:sz w:val="19"/>
                <w:szCs w:val="19"/>
              </w:rPr>
              <w:t>释放 后，层门门锁能自动复位</w:t>
            </w:r>
          </w:p>
        </w:tc>
        <w:tc>
          <w:tcPr>
            <w:tcW w:w="490" w:type="dxa"/>
            <w:vAlign w:val="top"/>
          </w:tcPr>
          <w:p w14:paraId="1D70941F">
            <w:pPr>
              <w:pStyle w:val="20"/>
              <w:spacing w:before="212"/>
              <w:ind w:left="144"/>
              <w:rPr>
                <w:sz w:val="19"/>
                <w:szCs w:val="19"/>
              </w:rPr>
            </w:pPr>
            <w:r>
              <w:rPr>
                <w:spacing w:val="-3"/>
                <w:sz w:val="19"/>
                <w:szCs w:val="19"/>
              </w:rPr>
              <w:t>57</w:t>
            </w:r>
          </w:p>
        </w:tc>
        <w:tc>
          <w:tcPr>
            <w:tcW w:w="3814" w:type="dxa"/>
            <w:vAlign w:val="top"/>
          </w:tcPr>
          <w:p w14:paraId="2CD1D15F">
            <w:pPr>
              <w:pStyle w:val="20"/>
              <w:spacing w:before="195" w:line="219" w:lineRule="auto"/>
              <w:ind w:left="125"/>
              <w:rPr>
                <w:sz w:val="19"/>
                <w:szCs w:val="19"/>
              </w:rPr>
            </w:pPr>
            <w:r>
              <w:rPr>
                <w:spacing w:val="-1"/>
                <w:sz w:val="19"/>
                <w:szCs w:val="19"/>
              </w:rPr>
              <w:t>对重缓冲距离符合标准值</w:t>
            </w:r>
          </w:p>
        </w:tc>
      </w:tr>
      <w:tr w14:paraId="63F83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348F06AB">
            <w:pPr>
              <w:pStyle w:val="20"/>
              <w:spacing w:before="94" w:line="211" w:lineRule="auto"/>
              <w:ind w:left="124"/>
              <w:rPr>
                <w:sz w:val="18"/>
                <w:szCs w:val="18"/>
              </w:rPr>
            </w:pPr>
            <w:r>
              <w:rPr>
                <w:spacing w:val="-3"/>
                <w:sz w:val="18"/>
                <w:szCs w:val="18"/>
              </w:rPr>
              <w:t>28</w:t>
            </w:r>
          </w:p>
        </w:tc>
        <w:tc>
          <w:tcPr>
            <w:tcW w:w="4196" w:type="dxa"/>
            <w:vAlign w:val="top"/>
          </w:tcPr>
          <w:p w14:paraId="199FE958">
            <w:pPr>
              <w:pStyle w:val="20"/>
              <w:spacing w:before="76" w:line="219" w:lineRule="auto"/>
              <w:ind w:left="80"/>
              <w:rPr>
                <w:sz w:val="19"/>
                <w:szCs w:val="19"/>
              </w:rPr>
            </w:pPr>
            <w:r>
              <w:rPr>
                <w:spacing w:val="-1"/>
                <w:sz w:val="19"/>
                <w:szCs w:val="19"/>
              </w:rPr>
              <w:t>层门门锁电气触点清洁，触点接触良好，接线可靠</w:t>
            </w:r>
          </w:p>
        </w:tc>
        <w:tc>
          <w:tcPr>
            <w:tcW w:w="490" w:type="dxa"/>
            <w:vAlign w:val="top"/>
          </w:tcPr>
          <w:p w14:paraId="6116DA05">
            <w:pPr>
              <w:pStyle w:val="20"/>
              <w:spacing w:before="94" w:line="211" w:lineRule="auto"/>
              <w:ind w:left="144"/>
              <w:rPr>
                <w:sz w:val="19"/>
                <w:szCs w:val="19"/>
              </w:rPr>
            </w:pPr>
            <w:r>
              <w:rPr>
                <w:spacing w:val="-3"/>
                <w:sz w:val="19"/>
                <w:szCs w:val="19"/>
              </w:rPr>
              <w:t>58</w:t>
            </w:r>
          </w:p>
        </w:tc>
        <w:tc>
          <w:tcPr>
            <w:tcW w:w="3814" w:type="dxa"/>
            <w:vAlign w:val="top"/>
          </w:tcPr>
          <w:p w14:paraId="1DDFA808">
            <w:pPr>
              <w:pStyle w:val="20"/>
              <w:spacing w:before="76" w:line="219" w:lineRule="auto"/>
              <w:ind w:left="125"/>
              <w:rPr>
                <w:sz w:val="19"/>
                <w:szCs w:val="19"/>
              </w:rPr>
            </w:pPr>
            <w:r>
              <w:rPr>
                <w:spacing w:val="-1"/>
                <w:sz w:val="19"/>
                <w:szCs w:val="19"/>
              </w:rPr>
              <w:t>补偿链(绳)与轿厢、对重结合处固定，无松动</w:t>
            </w:r>
          </w:p>
        </w:tc>
      </w:tr>
      <w:tr w14:paraId="4679F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455" w:type="dxa"/>
            <w:vAlign w:val="top"/>
          </w:tcPr>
          <w:p w14:paraId="49ACEC93">
            <w:pPr>
              <w:pStyle w:val="20"/>
              <w:spacing w:before="94" w:line="220" w:lineRule="auto"/>
              <w:ind w:left="124"/>
              <w:rPr>
                <w:sz w:val="18"/>
                <w:szCs w:val="18"/>
              </w:rPr>
            </w:pPr>
            <w:r>
              <w:rPr>
                <w:spacing w:val="-3"/>
                <w:sz w:val="18"/>
                <w:szCs w:val="18"/>
              </w:rPr>
              <w:t>29</w:t>
            </w:r>
          </w:p>
        </w:tc>
        <w:tc>
          <w:tcPr>
            <w:tcW w:w="4196" w:type="dxa"/>
            <w:vAlign w:val="top"/>
          </w:tcPr>
          <w:p w14:paraId="7832F4EB">
            <w:pPr>
              <w:pStyle w:val="20"/>
              <w:spacing w:before="76" w:line="219" w:lineRule="auto"/>
              <w:ind w:left="80"/>
              <w:rPr>
                <w:sz w:val="19"/>
                <w:szCs w:val="19"/>
              </w:rPr>
            </w:pPr>
            <w:r>
              <w:rPr>
                <w:spacing w:val="-1"/>
                <w:sz w:val="19"/>
                <w:szCs w:val="19"/>
              </w:rPr>
              <w:t>层门锁紧元件啮合长度不小于7mm</w:t>
            </w:r>
          </w:p>
        </w:tc>
        <w:tc>
          <w:tcPr>
            <w:tcW w:w="490" w:type="dxa"/>
            <w:vAlign w:val="top"/>
          </w:tcPr>
          <w:p w14:paraId="71E9C216">
            <w:pPr>
              <w:pStyle w:val="20"/>
              <w:spacing w:before="94" w:line="220" w:lineRule="auto"/>
              <w:ind w:left="144"/>
              <w:rPr>
                <w:sz w:val="19"/>
                <w:szCs w:val="19"/>
              </w:rPr>
            </w:pPr>
            <w:r>
              <w:rPr>
                <w:spacing w:val="-3"/>
                <w:sz w:val="19"/>
                <w:szCs w:val="19"/>
              </w:rPr>
              <w:t>59</w:t>
            </w:r>
          </w:p>
        </w:tc>
        <w:tc>
          <w:tcPr>
            <w:tcW w:w="3814" w:type="dxa"/>
            <w:vAlign w:val="top"/>
          </w:tcPr>
          <w:p w14:paraId="5EAD3454">
            <w:pPr>
              <w:pStyle w:val="20"/>
              <w:spacing w:before="76" w:line="220" w:lineRule="auto"/>
              <w:ind w:left="125"/>
              <w:rPr>
                <w:sz w:val="19"/>
                <w:szCs w:val="19"/>
              </w:rPr>
            </w:pPr>
            <w:r>
              <w:rPr>
                <w:spacing w:val="-1"/>
                <w:sz w:val="19"/>
                <w:szCs w:val="19"/>
              </w:rPr>
              <w:t>上、下极限开关工作正常</w:t>
            </w:r>
          </w:p>
        </w:tc>
      </w:tr>
      <w:tr w14:paraId="7F49F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455" w:type="dxa"/>
            <w:vAlign w:val="top"/>
          </w:tcPr>
          <w:p w14:paraId="5753BFB1">
            <w:pPr>
              <w:pStyle w:val="20"/>
              <w:spacing w:before="174"/>
              <w:ind w:left="124"/>
              <w:rPr>
                <w:sz w:val="18"/>
                <w:szCs w:val="18"/>
              </w:rPr>
            </w:pPr>
            <w:r>
              <w:rPr>
                <w:spacing w:val="-3"/>
                <w:sz w:val="18"/>
                <w:szCs w:val="18"/>
              </w:rPr>
              <w:t>30</w:t>
            </w:r>
          </w:p>
        </w:tc>
        <w:tc>
          <w:tcPr>
            <w:tcW w:w="4196" w:type="dxa"/>
            <w:vAlign w:val="top"/>
          </w:tcPr>
          <w:p w14:paraId="32745108">
            <w:pPr>
              <w:pStyle w:val="20"/>
              <w:spacing w:before="157" w:line="219" w:lineRule="auto"/>
              <w:ind w:left="80"/>
              <w:rPr>
                <w:sz w:val="19"/>
                <w:szCs w:val="19"/>
              </w:rPr>
            </w:pPr>
            <w:r>
              <w:rPr>
                <w:spacing w:val="-1"/>
                <w:sz w:val="19"/>
                <w:szCs w:val="19"/>
              </w:rPr>
              <w:t>底坑环境清洁，无渗水、积水，照明正常</w:t>
            </w:r>
          </w:p>
        </w:tc>
        <w:tc>
          <w:tcPr>
            <w:tcW w:w="490" w:type="dxa"/>
            <w:vAlign w:val="top"/>
          </w:tcPr>
          <w:p w14:paraId="33C663AE">
            <w:pPr>
              <w:pStyle w:val="20"/>
              <w:spacing w:before="174"/>
              <w:ind w:left="144"/>
              <w:rPr>
                <w:sz w:val="19"/>
                <w:szCs w:val="19"/>
              </w:rPr>
            </w:pPr>
            <w:r>
              <w:rPr>
                <w:spacing w:val="-3"/>
                <w:sz w:val="19"/>
                <w:szCs w:val="19"/>
              </w:rPr>
              <w:t>60</w:t>
            </w:r>
          </w:p>
        </w:tc>
        <w:tc>
          <w:tcPr>
            <w:tcW w:w="3814" w:type="dxa"/>
            <w:vAlign w:val="top"/>
          </w:tcPr>
          <w:p w14:paraId="4C124682">
            <w:pPr>
              <w:pStyle w:val="20"/>
              <w:spacing w:before="47" w:line="214" w:lineRule="auto"/>
              <w:ind w:left="144" w:right="167" w:hanging="19"/>
              <w:rPr>
                <w:sz w:val="19"/>
                <w:szCs w:val="19"/>
              </w:rPr>
            </w:pPr>
            <w:r>
              <w:rPr>
                <w:spacing w:val="-1"/>
                <w:sz w:val="19"/>
                <w:szCs w:val="19"/>
              </w:rPr>
              <w:t>轿厢内安全标识、年检标志、报警说明、厅门锁孔安</w:t>
            </w:r>
            <w:r>
              <w:rPr>
                <w:spacing w:val="14"/>
                <w:sz w:val="19"/>
                <w:szCs w:val="19"/>
              </w:rPr>
              <w:t xml:space="preserve"> </w:t>
            </w:r>
            <w:r>
              <w:rPr>
                <w:spacing w:val="-1"/>
                <w:sz w:val="19"/>
                <w:szCs w:val="19"/>
              </w:rPr>
              <w:t>全标识 齐全有效</w:t>
            </w:r>
          </w:p>
        </w:tc>
      </w:tr>
    </w:tbl>
    <w:p w14:paraId="1490C059">
      <w:pPr>
        <w:spacing w:line="600" w:lineRule="exact"/>
        <w:ind w:firstLine="640" w:firstLineChars="200"/>
        <w:rPr>
          <w:rFonts w:hint="eastAsia" w:ascii="仿宋_GB2312" w:hAnsi="仿宋_GB2312" w:eastAsia="仿宋_GB2312" w:cs="仿宋_GB2312"/>
          <w:b w:val="0"/>
          <w:bCs w:val="0"/>
          <w:color w:val="333333"/>
          <w:kern w:val="0"/>
          <w:sz w:val="32"/>
          <w:szCs w:val="32"/>
          <w:lang w:eastAsia="zh-CN"/>
        </w:rPr>
      </w:pPr>
      <w:r>
        <w:rPr>
          <w:rFonts w:hint="eastAsia" w:ascii="仿宋_GB2312" w:hAnsi="仿宋_GB2312" w:eastAsia="仿宋_GB2312" w:cs="仿宋_GB2312"/>
          <w:b w:val="0"/>
          <w:bCs w:val="0"/>
          <w:color w:val="333333"/>
          <w:kern w:val="0"/>
          <w:sz w:val="32"/>
          <w:szCs w:val="32"/>
          <w:lang w:eastAsia="zh-CN"/>
        </w:rPr>
        <w:t>（</w:t>
      </w:r>
      <w:r>
        <w:rPr>
          <w:rFonts w:hint="eastAsia" w:ascii="仿宋_GB2312" w:hAnsi="仿宋_GB2312" w:eastAsia="仿宋_GB2312" w:cs="仿宋_GB2312"/>
          <w:b w:val="0"/>
          <w:bCs w:val="0"/>
          <w:color w:val="333333"/>
          <w:kern w:val="0"/>
          <w:sz w:val="32"/>
          <w:szCs w:val="32"/>
          <w:lang w:val="en-US" w:eastAsia="zh-CN"/>
        </w:rPr>
        <w:t>四</w:t>
      </w:r>
      <w:r>
        <w:rPr>
          <w:rFonts w:hint="eastAsia" w:ascii="仿宋_GB2312" w:hAnsi="仿宋_GB2312" w:eastAsia="仿宋_GB2312" w:cs="仿宋_GB2312"/>
          <w:b w:val="0"/>
          <w:bCs w:val="0"/>
          <w:color w:val="333333"/>
          <w:kern w:val="0"/>
          <w:sz w:val="32"/>
          <w:szCs w:val="32"/>
          <w:lang w:eastAsia="zh-CN"/>
        </w:rPr>
        <w:t>）乘客电梯、载货电梯(全年)维护保养项目及要求</w:t>
      </w:r>
    </w:p>
    <w:tbl>
      <w:tblPr>
        <w:tblStyle w:val="21"/>
        <w:tblW w:w="895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766"/>
        <w:gridCol w:w="510"/>
        <w:gridCol w:w="4106"/>
      </w:tblGrid>
      <w:tr w14:paraId="0E943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575" w:type="dxa"/>
            <w:vAlign w:val="top"/>
          </w:tcPr>
          <w:p w14:paraId="4F756FF1">
            <w:pPr>
              <w:pStyle w:val="20"/>
              <w:spacing w:before="213" w:line="221" w:lineRule="auto"/>
              <w:ind w:left="95"/>
              <w:rPr>
                <w:rFonts w:hint="eastAsia" w:ascii="宋体" w:hAnsi="宋体" w:eastAsia="宋体" w:cs="宋体"/>
                <w:sz w:val="19"/>
                <w:szCs w:val="19"/>
              </w:rPr>
            </w:pPr>
            <w:r>
              <w:rPr>
                <w:rFonts w:hint="eastAsia" w:ascii="宋体" w:hAnsi="宋体" w:eastAsia="宋体" w:cs="宋体"/>
                <w:spacing w:val="-2"/>
                <w:sz w:val="19"/>
                <w:szCs w:val="19"/>
              </w:rPr>
              <w:t>序号</w:t>
            </w:r>
          </w:p>
        </w:tc>
        <w:tc>
          <w:tcPr>
            <w:tcW w:w="3766" w:type="dxa"/>
            <w:vAlign w:val="top"/>
          </w:tcPr>
          <w:p w14:paraId="40D2C6FA">
            <w:pPr>
              <w:pStyle w:val="20"/>
              <w:spacing w:before="212" w:line="219" w:lineRule="auto"/>
              <w:ind w:left="100"/>
              <w:rPr>
                <w:rFonts w:hint="eastAsia" w:ascii="宋体" w:hAnsi="宋体" w:eastAsia="宋体" w:cs="宋体"/>
                <w:sz w:val="19"/>
                <w:szCs w:val="19"/>
              </w:rPr>
            </w:pPr>
            <w:r>
              <w:rPr>
                <w:rFonts w:hint="eastAsia" w:ascii="宋体" w:hAnsi="宋体" w:eastAsia="宋体" w:cs="宋体"/>
                <w:spacing w:val="-1"/>
                <w:sz w:val="19"/>
                <w:szCs w:val="19"/>
              </w:rPr>
              <w:t>维护保养项目(内容)及要求</w:t>
            </w:r>
          </w:p>
        </w:tc>
        <w:tc>
          <w:tcPr>
            <w:tcW w:w="510" w:type="dxa"/>
            <w:textDirection w:val="tbRlV"/>
            <w:vAlign w:val="top"/>
          </w:tcPr>
          <w:p w14:paraId="545880CE">
            <w:pPr>
              <w:spacing w:line="248" w:lineRule="auto"/>
              <w:rPr>
                <w:rFonts w:hint="eastAsia" w:ascii="宋体" w:hAnsi="宋体" w:eastAsia="宋体" w:cs="宋体"/>
                <w:sz w:val="19"/>
                <w:szCs w:val="19"/>
              </w:rPr>
            </w:pPr>
          </w:p>
          <w:p w14:paraId="219DFB15">
            <w:pPr>
              <w:pStyle w:val="20"/>
              <w:spacing w:before="60" w:line="199" w:lineRule="auto"/>
              <w:ind w:left="105"/>
              <w:rPr>
                <w:rFonts w:hint="eastAsia" w:ascii="宋体" w:hAnsi="宋体" w:eastAsia="宋体" w:cs="宋体"/>
                <w:sz w:val="19"/>
                <w:szCs w:val="19"/>
              </w:rPr>
            </w:pPr>
            <w:r>
              <w:rPr>
                <w:rFonts w:hint="eastAsia" w:ascii="宋体" w:hAnsi="宋体" w:eastAsia="宋体" w:cs="宋体"/>
                <w:sz w:val="19"/>
                <w:szCs w:val="19"/>
              </w:rPr>
              <w:t>序号</w:t>
            </w:r>
          </w:p>
        </w:tc>
        <w:tc>
          <w:tcPr>
            <w:tcW w:w="4106" w:type="dxa"/>
            <w:vAlign w:val="top"/>
          </w:tcPr>
          <w:p w14:paraId="04A1DF5E">
            <w:pPr>
              <w:pStyle w:val="20"/>
              <w:spacing w:before="212" w:line="219" w:lineRule="auto"/>
              <w:ind w:left="95"/>
              <w:rPr>
                <w:rFonts w:hint="eastAsia" w:ascii="宋体" w:hAnsi="宋体" w:eastAsia="宋体" w:cs="宋体"/>
                <w:sz w:val="19"/>
                <w:szCs w:val="19"/>
              </w:rPr>
            </w:pPr>
            <w:r>
              <w:rPr>
                <w:rFonts w:hint="eastAsia" w:ascii="宋体" w:hAnsi="宋体" w:eastAsia="宋体" w:cs="宋体"/>
                <w:spacing w:val="-1"/>
                <w:sz w:val="19"/>
                <w:szCs w:val="19"/>
              </w:rPr>
              <w:t>维护保养项目(内容)及要求</w:t>
            </w:r>
          </w:p>
        </w:tc>
      </w:tr>
      <w:tr w14:paraId="53C63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75" w:type="dxa"/>
            <w:vAlign w:val="top"/>
          </w:tcPr>
          <w:p w14:paraId="7BF869D1">
            <w:pPr>
              <w:pStyle w:val="20"/>
              <w:spacing w:before="125" w:line="241" w:lineRule="auto"/>
              <w:ind w:left="105"/>
              <w:rPr>
                <w:rFonts w:hint="eastAsia" w:ascii="宋体" w:hAnsi="宋体" w:eastAsia="宋体" w:cs="宋体"/>
                <w:sz w:val="19"/>
                <w:szCs w:val="19"/>
              </w:rPr>
            </w:pPr>
            <w:r>
              <w:rPr>
                <w:rFonts w:hint="eastAsia" w:ascii="宋体" w:hAnsi="宋体" w:eastAsia="宋体" w:cs="宋体"/>
                <w:sz w:val="19"/>
                <w:szCs w:val="19"/>
              </w:rPr>
              <w:t>1</w:t>
            </w:r>
          </w:p>
        </w:tc>
        <w:tc>
          <w:tcPr>
            <w:tcW w:w="3766" w:type="dxa"/>
            <w:vAlign w:val="top"/>
          </w:tcPr>
          <w:p w14:paraId="7427D020">
            <w:pPr>
              <w:pStyle w:val="20"/>
              <w:spacing w:before="106" w:line="219" w:lineRule="auto"/>
              <w:jc w:val="right"/>
              <w:rPr>
                <w:rFonts w:hint="eastAsia" w:ascii="宋体" w:hAnsi="宋体" w:eastAsia="宋体" w:cs="宋体"/>
                <w:sz w:val="19"/>
                <w:szCs w:val="19"/>
              </w:rPr>
            </w:pPr>
            <w:r>
              <w:rPr>
                <w:rFonts w:hint="eastAsia" w:ascii="宋体" w:hAnsi="宋体" w:eastAsia="宋体" w:cs="宋体"/>
                <w:spacing w:val="-6"/>
                <w:sz w:val="19"/>
                <w:szCs w:val="19"/>
              </w:rPr>
              <w:t>机房、滑轮间环境清洁，  门窗完好，照明正常</w:t>
            </w:r>
          </w:p>
        </w:tc>
        <w:tc>
          <w:tcPr>
            <w:tcW w:w="510" w:type="dxa"/>
            <w:vAlign w:val="top"/>
          </w:tcPr>
          <w:p w14:paraId="4F616EAF">
            <w:pPr>
              <w:pStyle w:val="20"/>
              <w:spacing w:before="195" w:line="200" w:lineRule="auto"/>
              <w:ind w:left="95"/>
              <w:rPr>
                <w:rFonts w:hint="eastAsia" w:ascii="宋体" w:hAnsi="宋体" w:eastAsia="宋体" w:cs="宋体"/>
                <w:sz w:val="19"/>
                <w:szCs w:val="19"/>
              </w:rPr>
            </w:pPr>
            <w:r>
              <w:rPr>
                <w:rFonts w:hint="eastAsia" w:ascii="宋体" w:hAnsi="宋体" w:eastAsia="宋体" w:cs="宋体"/>
                <w:spacing w:val="-3"/>
                <w:sz w:val="19"/>
                <w:szCs w:val="19"/>
              </w:rPr>
              <w:t>39</w:t>
            </w:r>
          </w:p>
        </w:tc>
        <w:tc>
          <w:tcPr>
            <w:tcW w:w="4106" w:type="dxa"/>
            <w:vAlign w:val="top"/>
          </w:tcPr>
          <w:p w14:paraId="087B0464">
            <w:pPr>
              <w:pStyle w:val="20"/>
              <w:spacing w:before="108" w:line="220" w:lineRule="auto"/>
              <w:ind w:left="95"/>
              <w:rPr>
                <w:rFonts w:hint="eastAsia" w:ascii="宋体" w:hAnsi="宋体" w:eastAsia="宋体" w:cs="宋体"/>
                <w:sz w:val="19"/>
                <w:szCs w:val="19"/>
              </w:rPr>
            </w:pPr>
            <w:r>
              <w:rPr>
                <w:rFonts w:hint="eastAsia" w:ascii="宋体" w:hAnsi="宋体" w:eastAsia="宋体" w:cs="宋体"/>
                <w:spacing w:val="-1"/>
                <w:sz w:val="19"/>
                <w:szCs w:val="19"/>
              </w:rPr>
              <w:t>验证轿门关闭的电气安全装置工作正常</w:t>
            </w:r>
          </w:p>
        </w:tc>
      </w:tr>
      <w:tr w14:paraId="03920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75" w:type="dxa"/>
            <w:vAlign w:val="top"/>
          </w:tcPr>
          <w:p w14:paraId="4D3CF4B0">
            <w:pPr>
              <w:pStyle w:val="20"/>
              <w:spacing w:before="245" w:line="241" w:lineRule="auto"/>
              <w:ind w:left="85"/>
              <w:rPr>
                <w:rFonts w:hint="eastAsia" w:ascii="宋体" w:hAnsi="宋体" w:eastAsia="宋体" w:cs="宋体"/>
                <w:sz w:val="19"/>
                <w:szCs w:val="19"/>
              </w:rPr>
            </w:pPr>
            <w:r>
              <w:rPr>
                <w:rFonts w:hint="eastAsia" w:ascii="宋体" w:hAnsi="宋体" w:eastAsia="宋体" w:cs="宋体"/>
                <w:sz w:val="19"/>
                <w:szCs w:val="19"/>
              </w:rPr>
              <w:t>2</w:t>
            </w:r>
          </w:p>
        </w:tc>
        <w:tc>
          <w:tcPr>
            <w:tcW w:w="3766" w:type="dxa"/>
            <w:vAlign w:val="top"/>
          </w:tcPr>
          <w:p w14:paraId="70C8DC45">
            <w:pPr>
              <w:pStyle w:val="20"/>
              <w:spacing w:before="227" w:line="219" w:lineRule="auto"/>
              <w:ind w:left="100"/>
              <w:rPr>
                <w:rFonts w:hint="eastAsia" w:ascii="宋体" w:hAnsi="宋体" w:eastAsia="宋体" w:cs="宋体"/>
                <w:sz w:val="19"/>
                <w:szCs w:val="19"/>
              </w:rPr>
            </w:pPr>
            <w:r>
              <w:rPr>
                <w:rFonts w:hint="eastAsia" w:ascii="宋体" w:hAnsi="宋体" w:eastAsia="宋体" w:cs="宋体"/>
                <w:spacing w:val="-1"/>
                <w:sz w:val="19"/>
                <w:szCs w:val="19"/>
              </w:rPr>
              <w:t>手动紧急操作装置齐全，在指定位置</w:t>
            </w:r>
          </w:p>
        </w:tc>
        <w:tc>
          <w:tcPr>
            <w:tcW w:w="510" w:type="dxa"/>
            <w:vAlign w:val="top"/>
          </w:tcPr>
          <w:p w14:paraId="4BF5A19D">
            <w:pPr>
              <w:pStyle w:val="20"/>
              <w:spacing w:before="245"/>
              <w:ind w:left="155"/>
              <w:rPr>
                <w:rFonts w:hint="eastAsia" w:ascii="宋体" w:hAnsi="宋体" w:eastAsia="宋体" w:cs="宋体"/>
                <w:sz w:val="19"/>
                <w:szCs w:val="19"/>
              </w:rPr>
            </w:pPr>
            <w:r>
              <w:rPr>
                <w:rFonts w:hint="eastAsia" w:ascii="宋体" w:hAnsi="宋体" w:eastAsia="宋体" w:cs="宋体"/>
                <w:spacing w:val="-2"/>
                <w:sz w:val="19"/>
                <w:szCs w:val="19"/>
              </w:rPr>
              <w:t>40</w:t>
            </w:r>
          </w:p>
        </w:tc>
        <w:tc>
          <w:tcPr>
            <w:tcW w:w="4106" w:type="dxa"/>
            <w:vAlign w:val="top"/>
          </w:tcPr>
          <w:p w14:paraId="111E3171">
            <w:pPr>
              <w:pStyle w:val="20"/>
              <w:spacing w:before="96" w:line="273" w:lineRule="auto"/>
              <w:ind w:left="95"/>
              <w:rPr>
                <w:rFonts w:hint="eastAsia" w:ascii="宋体" w:hAnsi="宋体" w:eastAsia="宋体" w:cs="宋体"/>
                <w:sz w:val="19"/>
                <w:szCs w:val="19"/>
              </w:rPr>
            </w:pPr>
            <w:r>
              <w:rPr>
                <w:rFonts w:hint="eastAsia" w:ascii="宋体" w:hAnsi="宋体" w:eastAsia="宋体" w:cs="宋体"/>
                <w:spacing w:val="-6"/>
                <w:sz w:val="19"/>
                <w:szCs w:val="19"/>
              </w:rPr>
              <w:t>层门、轿门系统中传动钢丝绳、链条、传动带</w:t>
            </w:r>
            <w:r>
              <w:rPr>
                <w:rFonts w:hint="eastAsia" w:ascii="宋体" w:hAnsi="宋体" w:eastAsia="宋体" w:cs="宋体"/>
                <w:spacing w:val="-7"/>
                <w:sz w:val="19"/>
                <w:szCs w:val="19"/>
              </w:rPr>
              <w:t>按照制</w:t>
            </w:r>
            <w:r>
              <w:rPr>
                <w:rFonts w:hint="eastAsia" w:ascii="宋体" w:hAnsi="宋体" w:eastAsia="宋体" w:cs="宋体"/>
                <w:sz w:val="19"/>
                <w:szCs w:val="19"/>
              </w:rPr>
              <w:t xml:space="preserve"> </w:t>
            </w:r>
            <w:r>
              <w:rPr>
                <w:rFonts w:hint="eastAsia" w:ascii="宋体" w:hAnsi="宋体" w:eastAsia="宋体" w:cs="宋体"/>
                <w:spacing w:val="-2"/>
                <w:sz w:val="19"/>
                <w:szCs w:val="19"/>
              </w:rPr>
              <w:t>造单位要求进行清洁、调整</w:t>
            </w:r>
          </w:p>
        </w:tc>
      </w:tr>
      <w:tr w14:paraId="6EC99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575" w:type="dxa"/>
            <w:vAlign w:val="top"/>
          </w:tcPr>
          <w:p w14:paraId="6501960E">
            <w:pPr>
              <w:pStyle w:val="20"/>
              <w:spacing w:before="125"/>
              <w:ind w:left="74"/>
              <w:rPr>
                <w:rFonts w:hint="eastAsia" w:ascii="宋体" w:hAnsi="宋体" w:eastAsia="宋体" w:cs="宋体"/>
                <w:sz w:val="19"/>
                <w:szCs w:val="19"/>
              </w:rPr>
            </w:pPr>
            <w:r>
              <w:rPr>
                <w:rFonts w:hint="eastAsia" w:ascii="宋体" w:hAnsi="宋体" w:eastAsia="宋体" w:cs="宋体"/>
                <w:sz w:val="19"/>
                <w:szCs w:val="19"/>
              </w:rPr>
              <w:t>3</w:t>
            </w:r>
          </w:p>
        </w:tc>
        <w:tc>
          <w:tcPr>
            <w:tcW w:w="3766" w:type="dxa"/>
            <w:vAlign w:val="top"/>
          </w:tcPr>
          <w:p w14:paraId="363F1CC5">
            <w:pPr>
              <w:pStyle w:val="20"/>
              <w:spacing w:before="107" w:line="219" w:lineRule="auto"/>
              <w:ind w:left="100"/>
              <w:rPr>
                <w:rFonts w:hint="eastAsia" w:ascii="宋体" w:hAnsi="宋体" w:eastAsia="宋体" w:cs="宋体"/>
                <w:sz w:val="19"/>
                <w:szCs w:val="19"/>
              </w:rPr>
            </w:pPr>
            <w:r>
              <w:rPr>
                <w:rFonts w:hint="eastAsia" w:ascii="宋体" w:hAnsi="宋体" w:eastAsia="宋体" w:cs="宋体"/>
                <w:sz w:val="19"/>
                <w:szCs w:val="19"/>
              </w:rPr>
              <w:t>驱动主机运行时无异常振动和异常声响</w:t>
            </w:r>
          </w:p>
        </w:tc>
        <w:tc>
          <w:tcPr>
            <w:tcW w:w="510" w:type="dxa"/>
            <w:vAlign w:val="top"/>
          </w:tcPr>
          <w:p w14:paraId="59BF2D40">
            <w:pPr>
              <w:pStyle w:val="20"/>
              <w:spacing w:before="185" w:line="199" w:lineRule="auto"/>
              <w:ind w:left="155"/>
              <w:rPr>
                <w:rFonts w:hint="eastAsia" w:ascii="宋体" w:hAnsi="宋体" w:eastAsia="宋体" w:cs="宋体"/>
                <w:sz w:val="19"/>
                <w:szCs w:val="19"/>
              </w:rPr>
            </w:pPr>
            <w:r>
              <w:rPr>
                <w:rFonts w:hint="eastAsia" w:ascii="宋体" w:hAnsi="宋体" w:eastAsia="宋体" w:cs="宋体"/>
                <w:spacing w:val="-2"/>
                <w:sz w:val="19"/>
                <w:szCs w:val="19"/>
              </w:rPr>
              <w:t>41</w:t>
            </w:r>
          </w:p>
        </w:tc>
        <w:tc>
          <w:tcPr>
            <w:tcW w:w="4106" w:type="dxa"/>
            <w:vAlign w:val="top"/>
          </w:tcPr>
          <w:p w14:paraId="18175C43">
            <w:pPr>
              <w:pStyle w:val="20"/>
              <w:spacing w:before="108" w:line="219" w:lineRule="auto"/>
              <w:ind w:left="95"/>
              <w:rPr>
                <w:rFonts w:hint="eastAsia" w:ascii="宋体" w:hAnsi="宋体" w:eastAsia="宋体" w:cs="宋体"/>
                <w:sz w:val="19"/>
                <w:szCs w:val="19"/>
              </w:rPr>
            </w:pPr>
            <w:r>
              <w:rPr>
                <w:rFonts w:hint="eastAsia" w:ascii="宋体" w:hAnsi="宋体" w:eastAsia="宋体" w:cs="宋体"/>
                <w:spacing w:val="-1"/>
                <w:sz w:val="19"/>
                <w:szCs w:val="19"/>
              </w:rPr>
              <w:t>层门门导靴磨损量不超过制造单位要求</w:t>
            </w:r>
          </w:p>
        </w:tc>
      </w:tr>
      <w:tr w14:paraId="09595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75" w:type="dxa"/>
            <w:vAlign w:val="top"/>
          </w:tcPr>
          <w:p w14:paraId="3F7DF726">
            <w:pPr>
              <w:pStyle w:val="20"/>
              <w:spacing w:before="215" w:line="199" w:lineRule="auto"/>
              <w:ind w:left="85"/>
              <w:rPr>
                <w:rFonts w:hint="eastAsia" w:ascii="宋体" w:hAnsi="宋体" w:eastAsia="宋体" w:cs="宋体"/>
                <w:sz w:val="19"/>
                <w:szCs w:val="19"/>
              </w:rPr>
            </w:pPr>
            <w:r>
              <w:rPr>
                <w:rFonts w:hint="eastAsia" w:ascii="宋体" w:hAnsi="宋体" w:eastAsia="宋体" w:cs="宋体"/>
                <w:sz w:val="19"/>
                <w:szCs w:val="19"/>
              </w:rPr>
              <w:t>4</w:t>
            </w:r>
          </w:p>
        </w:tc>
        <w:tc>
          <w:tcPr>
            <w:tcW w:w="3766" w:type="dxa"/>
            <w:vAlign w:val="top"/>
          </w:tcPr>
          <w:p w14:paraId="49F07AE9">
            <w:pPr>
              <w:pStyle w:val="20"/>
              <w:spacing w:before="117" w:line="219" w:lineRule="auto"/>
              <w:ind w:left="100"/>
              <w:rPr>
                <w:rFonts w:hint="eastAsia" w:ascii="宋体" w:hAnsi="宋体" w:eastAsia="宋体" w:cs="宋体"/>
                <w:sz w:val="19"/>
                <w:szCs w:val="19"/>
              </w:rPr>
            </w:pPr>
            <w:r>
              <w:rPr>
                <w:rFonts w:hint="eastAsia" w:ascii="宋体" w:hAnsi="宋体" w:eastAsia="宋体" w:cs="宋体"/>
                <w:spacing w:val="-1"/>
                <w:sz w:val="19"/>
                <w:szCs w:val="19"/>
              </w:rPr>
              <w:t>制动器各销轴部位动作灵活</w:t>
            </w:r>
          </w:p>
        </w:tc>
        <w:tc>
          <w:tcPr>
            <w:tcW w:w="510" w:type="dxa"/>
            <w:vAlign w:val="top"/>
          </w:tcPr>
          <w:p w14:paraId="56D61270">
            <w:pPr>
              <w:pStyle w:val="20"/>
              <w:spacing w:before="186" w:line="229" w:lineRule="auto"/>
              <w:ind w:left="155"/>
              <w:rPr>
                <w:rFonts w:hint="eastAsia" w:ascii="宋体" w:hAnsi="宋体" w:eastAsia="宋体" w:cs="宋体"/>
                <w:sz w:val="19"/>
                <w:szCs w:val="19"/>
              </w:rPr>
            </w:pPr>
            <w:r>
              <w:rPr>
                <w:rFonts w:hint="eastAsia" w:ascii="宋体" w:hAnsi="宋体" w:eastAsia="宋体" w:cs="宋体"/>
                <w:spacing w:val="-2"/>
                <w:sz w:val="19"/>
                <w:szCs w:val="19"/>
              </w:rPr>
              <w:t>42</w:t>
            </w:r>
          </w:p>
        </w:tc>
        <w:tc>
          <w:tcPr>
            <w:tcW w:w="4106" w:type="dxa"/>
            <w:vAlign w:val="top"/>
          </w:tcPr>
          <w:p w14:paraId="5943CB65">
            <w:pPr>
              <w:pStyle w:val="20"/>
              <w:spacing w:before="149" w:line="220" w:lineRule="auto"/>
              <w:ind w:left="95"/>
              <w:rPr>
                <w:rFonts w:hint="eastAsia" w:ascii="宋体" w:hAnsi="宋体" w:eastAsia="宋体" w:cs="宋体"/>
                <w:sz w:val="19"/>
                <w:szCs w:val="19"/>
              </w:rPr>
            </w:pPr>
            <w:r>
              <w:rPr>
                <w:rFonts w:hint="eastAsia" w:ascii="宋体" w:hAnsi="宋体" w:eastAsia="宋体" w:cs="宋体"/>
                <w:spacing w:val="-1"/>
                <w:sz w:val="19"/>
                <w:szCs w:val="19"/>
              </w:rPr>
              <w:t>消防开关工作正常，功能有效</w:t>
            </w:r>
          </w:p>
        </w:tc>
      </w:tr>
      <w:tr w14:paraId="2F0DC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575" w:type="dxa"/>
            <w:vMerge w:val="restart"/>
            <w:tcBorders>
              <w:bottom w:val="nil"/>
            </w:tcBorders>
            <w:vAlign w:val="top"/>
          </w:tcPr>
          <w:p w14:paraId="5A1F77B7">
            <w:pPr>
              <w:spacing w:line="405" w:lineRule="auto"/>
              <w:rPr>
                <w:rFonts w:hint="eastAsia" w:ascii="宋体" w:hAnsi="宋体" w:eastAsia="宋体" w:cs="宋体"/>
                <w:sz w:val="19"/>
                <w:szCs w:val="19"/>
              </w:rPr>
            </w:pPr>
          </w:p>
          <w:p w14:paraId="13FC1F33">
            <w:pPr>
              <w:pStyle w:val="20"/>
              <w:spacing w:before="58"/>
              <w:ind w:left="74"/>
              <w:rPr>
                <w:rFonts w:hint="eastAsia" w:ascii="宋体" w:hAnsi="宋体" w:eastAsia="宋体" w:cs="宋体"/>
                <w:sz w:val="19"/>
                <w:szCs w:val="19"/>
              </w:rPr>
            </w:pPr>
            <w:r>
              <w:rPr>
                <w:rFonts w:hint="eastAsia" w:ascii="宋体" w:hAnsi="宋体" w:eastAsia="宋体" w:cs="宋体"/>
                <w:sz w:val="19"/>
                <w:szCs w:val="19"/>
              </w:rPr>
              <w:t>5</w:t>
            </w:r>
          </w:p>
        </w:tc>
        <w:tc>
          <w:tcPr>
            <w:tcW w:w="3766" w:type="dxa"/>
            <w:vMerge w:val="restart"/>
            <w:tcBorders>
              <w:bottom w:val="nil"/>
            </w:tcBorders>
            <w:vAlign w:val="top"/>
          </w:tcPr>
          <w:p w14:paraId="43599AFC">
            <w:pPr>
              <w:pStyle w:val="20"/>
              <w:spacing w:before="246" w:line="321" w:lineRule="auto"/>
              <w:ind w:left="100" w:right="63"/>
              <w:rPr>
                <w:rFonts w:hint="eastAsia" w:ascii="宋体" w:hAnsi="宋体" w:eastAsia="宋体" w:cs="宋体"/>
                <w:sz w:val="19"/>
                <w:szCs w:val="19"/>
              </w:rPr>
            </w:pPr>
            <w:r>
              <w:rPr>
                <w:rFonts w:hint="eastAsia" w:ascii="宋体" w:hAnsi="宋体" w:eastAsia="宋体" w:cs="宋体"/>
                <w:spacing w:val="-1"/>
                <w:sz w:val="19"/>
                <w:szCs w:val="19"/>
              </w:rPr>
              <w:t>制动器间隙，打开时制动衬与帛动轮不应发生</w:t>
            </w:r>
            <w:r>
              <w:rPr>
                <w:rFonts w:hint="eastAsia" w:ascii="宋体" w:hAnsi="宋体" w:eastAsia="宋体" w:cs="宋体"/>
                <w:spacing w:val="11"/>
                <w:sz w:val="19"/>
                <w:szCs w:val="19"/>
              </w:rPr>
              <w:t xml:space="preserve"> </w:t>
            </w:r>
            <w:r>
              <w:rPr>
                <w:rFonts w:hint="eastAsia" w:ascii="宋体" w:hAnsi="宋体" w:eastAsia="宋体" w:cs="宋体"/>
                <w:spacing w:val="-1"/>
                <w:sz w:val="19"/>
                <w:szCs w:val="19"/>
              </w:rPr>
              <w:t>摩擦，间隙值符合制造单位要求</w:t>
            </w:r>
          </w:p>
        </w:tc>
        <w:tc>
          <w:tcPr>
            <w:tcW w:w="510" w:type="dxa"/>
            <w:vAlign w:val="top"/>
          </w:tcPr>
          <w:p w14:paraId="591286CD">
            <w:pPr>
              <w:pStyle w:val="20"/>
              <w:spacing w:before="255"/>
              <w:ind w:left="85"/>
              <w:rPr>
                <w:rFonts w:hint="eastAsia" w:ascii="宋体" w:hAnsi="宋体" w:eastAsia="宋体" w:cs="宋体"/>
                <w:sz w:val="19"/>
                <w:szCs w:val="19"/>
              </w:rPr>
            </w:pPr>
            <w:r>
              <w:rPr>
                <w:rFonts w:hint="eastAsia" w:ascii="宋体" w:hAnsi="宋体" w:eastAsia="宋体" w:cs="宋体"/>
                <w:spacing w:val="-2"/>
                <w:sz w:val="19"/>
                <w:szCs w:val="19"/>
              </w:rPr>
              <w:t>43</w:t>
            </w:r>
          </w:p>
        </w:tc>
        <w:tc>
          <w:tcPr>
            <w:tcW w:w="4106" w:type="dxa"/>
            <w:vAlign w:val="top"/>
          </w:tcPr>
          <w:p w14:paraId="44C58269">
            <w:pPr>
              <w:pStyle w:val="20"/>
              <w:spacing w:before="108" w:line="277" w:lineRule="auto"/>
              <w:ind w:left="95" w:firstLine="10"/>
              <w:rPr>
                <w:rFonts w:hint="eastAsia" w:ascii="宋体" w:hAnsi="宋体" w:eastAsia="宋体" w:cs="宋体"/>
                <w:sz w:val="19"/>
                <w:szCs w:val="19"/>
              </w:rPr>
            </w:pPr>
            <w:r>
              <w:rPr>
                <w:rFonts w:hint="eastAsia" w:ascii="宋体" w:hAnsi="宋体" w:eastAsia="宋体" w:cs="宋体"/>
                <w:spacing w:val="-7"/>
                <w:sz w:val="19"/>
                <w:szCs w:val="19"/>
              </w:rPr>
              <w:t>耗能缓冲器电气安全装置功能有效，油量适宜，柱塞</w:t>
            </w:r>
            <w:r>
              <w:rPr>
                <w:rFonts w:hint="eastAsia" w:ascii="宋体" w:hAnsi="宋体" w:eastAsia="宋体" w:cs="宋体"/>
                <w:spacing w:val="10"/>
                <w:sz w:val="19"/>
                <w:szCs w:val="19"/>
              </w:rPr>
              <w:t xml:space="preserve"> </w:t>
            </w:r>
            <w:r>
              <w:rPr>
                <w:rFonts w:hint="eastAsia" w:ascii="宋体" w:hAnsi="宋体" w:eastAsia="宋体" w:cs="宋体"/>
                <w:spacing w:val="-3"/>
                <w:sz w:val="19"/>
                <w:szCs w:val="19"/>
              </w:rPr>
              <w:t>无锈蚀</w:t>
            </w:r>
          </w:p>
        </w:tc>
      </w:tr>
      <w:tr w14:paraId="0DF3D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75" w:type="dxa"/>
            <w:vMerge w:val="continue"/>
            <w:tcBorders>
              <w:top w:val="nil"/>
            </w:tcBorders>
            <w:vAlign w:val="top"/>
          </w:tcPr>
          <w:p w14:paraId="0C1E97D4">
            <w:pPr>
              <w:rPr>
                <w:rFonts w:hint="eastAsia" w:ascii="宋体" w:hAnsi="宋体" w:eastAsia="宋体" w:cs="宋体"/>
                <w:sz w:val="19"/>
                <w:szCs w:val="19"/>
              </w:rPr>
            </w:pPr>
          </w:p>
        </w:tc>
        <w:tc>
          <w:tcPr>
            <w:tcW w:w="3766" w:type="dxa"/>
            <w:vMerge w:val="continue"/>
            <w:tcBorders>
              <w:top w:val="nil"/>
            </w:tcBorders>
            <w:vAlign w:val="top"/>
          </w:tcPr>
          <w:p w14:paraId="4D6E7405">
            <w:pPr>
              <w:rPr>
                <w:rFonts w:hint="eastAsia" w:ascii="宋体" w:hAnsi="宋体" w:eastAsia="宋体" w:cs="宋体"/>
                <w:sz w:val="19"/>
                <w:szCs w:val="19"/>
              </w:rPr>
            </w:pPr>
          </w:p>
        </w:tc>
        <w:tc>
          <w:tcPr>
            <w:tcW w:w="510" w:type="dxa"/>
            <w:vAlign w:val="top"/>
          </w:tcPr>
          <w:p w14:paraId="4C690CEB">
            <w:pPr>
              <w:pStyle w:val="20"/>
              <w:spacing w:before="217" w:line="177" w:lineRule="auto"/>
              <w:ind w:left="155"/>
              <w:rPr>
                <w:rFonts w:hint="eastAsia" w:ascii="宋体" w:hAnsi="宋体" w:eastAsia="宋体" w:cs="宋体"/>
                <w:sz w:val="19"/>
                <w:szCs w:val="19"/>
              </w:rPr>
            </w:pPr>
            <w:r>
              <w:rPr>
                <w:rFonts w:hint="eastAsia" w:ascii="宋体" w:hAnsi="宋体" w:eastAsia="宋体" w:cs="宋体"/>
                <w:spacing w:val="-2"/>
                <w:sz w:val="19"/>
                <w:szCs w:val="19"/>
              </w:rPr>
              <w:t>44</w:t>
            </w:r>
          </w:p>
        </w:tc>
        <w:tc>
          <w:tcPr>
            <w:tcW w:w="4106" w:type="dxa"/>
            <w:vAlign w:val="top"/>
          </w:tcPr>
          <w:p w14:paraId="68B209EC">
            <w:pPr>
              <w:pStyle w:val="20"/>
              <w:spacing w:before="109" w:line="219" w:lineRule="auto"/>
              <w:ind w:left="95"/>
              <w:rPr>
                <w:rFonts w:hint="eastAsia" w:ascii="宋体" w:hAnsi="宋体" w:eastAsia="宋体" w:cs="宋体"/>
                <w:sz w:val="19"/>
                <w:szCs w:val="19"/>
              </w:rPr>
            </w:pPr>
            <w:r>
              <w:rPr>
                <w:rFonts w:hint="eastAsia" w:ascii="宋体" w:hAnsi="宋体" w:eastAsia="宋体" w:cs="宋体"/>
                <w:sz w:val="19"/>
                <w:szCs w:val="19"/>
              </w:rPr>
              <w:t>限速器张紧轮装置和电气安全装置工作正常</w:t>
            </w:r>
          </w:p>
        </w:tc>
      </w:tr>
      <w:tr w14:paraId="2D0D9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575" w:type="dxa"/>
            <w:vMerge w:val="restart"/>
            <w:tcBorders>
              <w:bottom w:val="nil"/>
            </w:tcBorders>
            <w:vAlign w:val="top"/>
          </w:tcPr>
          <w:p w14:paraId="566A7E8D">
            <w:pPr>
              <w:spacing w:line="282" w:lineRule="auto"/>
              <w:rPr>
                <w:rFonts w:hint="eastAsia" w:ascii="宋体" w:hAnsi="宋体" w:eastAsia="宋体" w:cs="宋体"/>
                <w:sz w:val="19"/>
                <w:szCs w:val="19"/>
              </w:rPr>
            </w:pPr>
          </w:p>
          <w:p w14:paraId="170B61C4">
            <w:pPr>
              <w:spacing w:line="282" w:lineRule="auto"/>
              <w:rPr>
                <w:rFonts w:hint="eastAsia" w:ascii="宋体" w:hAnsi="宋体" w:eastAsia="宋体" w:cs="宋体"/>
                <w:sz w:val="19"/>
                <w:szCs w:val="19"/>
              </w:rPr>
            </w:pPr>
          </w:p>
          <w:p w14:paraId="24B66E14">
            <w:pPr>
              <w:pStyle w:val="20"/>
              <w:spacing w:before="59"/>
              <w:ind w:left="74"/>
              <w:rPr>
                <w:rFonts w:hint="eastAsia" w:ascii="宋体" w:hAnsi="宋体" w:eastAsia="宋体" w:cs="宋体"/>
                <w:sz w:val="19"/>
                <w:szCs w:val="19"/>
              </w:rPr>
            </w:pPr>
            <w:r>
              <w:rPr>
                <w:rFonts w:hint="eastAsia" w:ascii="宋体" w:hAnsi="宋体" w:eastAsia="宋体" w:cs="宋体"/>
                <w:sz w:val="19"/>
                <w:szCs w:val="19"/>
              </w:rPr>
              <w:t>6</w:t>
            </w:r>
          </w:p>
        </w:tc>
        <w:tc>
          <w:tcPr>
            <w:tcW w:w="3766" w:type="dxa"/>
            <w:vMerge w:val="restart"/>
            <w:tcBorders>
              <w:bottom w:val="nil"/>
            </w:tcBorders>
            <w:vAlign w:val="top"/>
          </w:tcPr>
          <w:p w14:paraId="27AFF833">
            <w:pPr>
              <w:pStyle w:val="20"/>
              <w:spacing w:before="219" w:line="220" w:lineRule="auto"/>
              <w:ind w:left="100"/>
              <w:rPr>
                <w:rFonts w:hint="eastAsia" w:ascii="宋体" w:hAnsi="宋体" w:eastAsia="宋体" w:cs="宋体"/>
                <w:sz w:val="19"/>
                <w:szCs w:val="19"/>
              </w:rPr>
            </w:pPr>
            <w:r>
              <w:rPr>
                <w:rFonts w:hint="eastAsia" w:ascii="宋体" w:hAnsi="宋体" w:eastAsia="宋体" w:cs="宋体"/>
                <w:spacing w:val="-1"/>
                <w:sz w:val="19"/>
                <w:szCs w:val="19"/>
              </w:rPr>
              <w:t>制动器作为轿厢意外移动保护装置制停子</w:t>
            </w:r>
          </w:p>
          <w:p w14:paraId="0C53D10C">
            <w:pPr>
              <w:pStyle w:val="20"/>
              <w:spacing w:before="94" w:line="314" w:lineRule="auto"/>
              <w:ind w:left="100" w:right="46" w:firstLine="19"/>
              <w:rPr>
                <w:rFonts w:hint="eastAsia" w:ascii="宋体" w:hAnsi="宋体" w:eastAsia="宋体" w:cs="宋体"/>
                <w:sz w:val="19"/>
                <w:szCs w:val="19"/>
              </w:rPr>
            </w:pPr>
            <w:r>
              <w:rPr>
                <w:rFonts w:hint="eastAsia" w:ascii="宋体" w:hAnsi="宋体" w:eastAsia="宋体" w:cs="宋体"/>
                <w:spacing w:val="-1"/>
                <w:sz w:val="19"/>
                <w:szCs w:val="19"/>
              </w:rPr>
              <w:t>系统时的自监测，制动力人工方式检测符合使</w:t>
            </w:r>
            <w:r>
              <w:rPr>
                <w:rFonts w:hint="eastAsia" w:ascii="宋体" w:hAnsi="宋体" w:eastAsia="宋体" w:cs="宋体"/>
                <w:spacing w:val="8"/>
                <w:sz w:val="19"/>
                <w:szCs w:val="19"/>
              </w:rPr>
              <w:t xml:space="preserve"> </w:t>
            </w:r>
            <w:r>
              <w:rPr>
                <w:rFonts w:hint="eastAsia" w:ascii="宋体" w:hAnsi="宋体" w:eastAsia="宋体" w:cs="宋体"/>
                <w:spacing w:val="-1"/>
                <w:sz w:val="19"/>
                <w:szCs w:val="19"/>
              </w:rPr>
              <w:t>用维护说明书要求；制动力自监测系统有记</w:t>
            </w:r>
          </w:p>
          <w:p w14:paraId="31CE4DCE">
            <w:pPr>
              <w:pStyle w:val="20"/>
              <w:spacing w:line="221" w:lineRule="auto"/>
              <w:ind w:left="100"/>
              <w:rPr>
                <w:rFonts w:hint="eastAsia" w:ascii="宋体" w:hAnsi="宋体" w:eastAsia="宋体" w:cs="宋体"/>
                <w:sz w:val="19"/>
                <w:szCs w:val="19"/>
              </w:rPr>
            </w:pPr>
            <w:r>
              <w:rPr>
                <w:rFonts w:hint="eastAsia" w:ascii="宋体" w:hAnsi="宋体" w:eastAsia="宋体" w:cs="宋体"/>
                <w:sz w:val="19"/>
                <w:szCs w:val="19"/>
              </w:rPr>
              <w:t>录</w:t>
            </w:r>
          </w:p>
        </w:tc>
        <w:tc>
          <w:tcPr>
            <w:tcW w:w="510" w:type="dxa"/>
            <w:vAlign w:val="top"/>
          </w:tcPr>
          <w:p w14:paraId="1BF5AFAC">
            <w:pPr>
              <w:pStyle w:val="20"/>
              <w:spacing w:before="257"/>
              <w:ind w:left="155"/>
              <w:rPr>
                <w:rFonts w:hint="eastAsia" w:ascii="宋体" w:hAnsi="宋体" w:eastAsia="宋体" w:cs="宋体"/>
                <w:sz w:val="19"/>
                <w:szCs w:val="19"/>
              </w:rPr>
            </w:pPr>
            <w:r>
              <w:rPr>
                <w:rFonts w:hint="eastAsia" w:ascii="宋体" w:hAnsi="宋体" w:eastAsia="宋体" w:cs="宋体"/>
                <w:spacing w:val="-2"/>
                <w:sz w:val="19"/>
                <w:szCs w:val="19"/>
              </w:rPr>
              <w:t>45</w:t>
            </w:r>
          </w:p>
        </w:tc>
        <w:tc>
          <w:tcPr>
            <w:tcW w:w="4106" w:type="dxa"/>
            <w:vAlign w:val="top"/>
          </w:tcPr>
          <w:p w14:paraId="67FD967A">
            <w:pPr>
              <w:pStyle w:val="20"/>
              <w:spacing w:before="108" w:line="272" w:lineRule="auto"/>
              <w:ind w:left="95" w:firstLine="59"/>
              <w:rPr>
                <w:rFonts w:hint="eastAsia" w:ascii="宋体" w:hAnsi="宋体" w:eastAsia="宋体" w:cs="宋体"/>
                <w:sz w:val="19"/>
                <w:szCs w:val="19"/>
              </w:rPr>
            </w:pPr>
            <w:r>
              <w:rPr>
                <w:rFonts w:hint="eastAsia" w:ascii="宋体" w:hAnsi="宋体" w:eastAsia="宋体" w:cs="宋体"/>
                <w:spacing w:val="-9"/>
                <w:sz w:val="19"/>
                <w:szCs w:val="19"/>
              </w:rPr>
              <w:t>电动机与减速机联轴器连接无松动，弹性元件外观良</w:t>
            </w:r>
            <w:r>
              <w:rPr>
                <w:rFonts w:hint="eastAsia" w:ascii="宋体" w:hAnsi="宋体" w:eastAsia="宋体" w:cs="宋体"/>
                <w:spacing w:val="7"/>
                <w:sz w:val="19"/>
                <w:szCs w:val="19"/>
              </w:rPr>
              <w:t xml:space="preserve"> </w:t>
            </w:r>
            <w:r>
              <w:rPr>
                <w:rFonts w:hint="eastAsia" w:ascii="宋体" w:hAnsi="宋体" w:eastAsia="宋体" w:cs="宋体"/>
                <w:spacing w:val="-2"/>
                <w:sz w:val="19"/>
                <w:szCs w:val="19"/>
              </w:rPr>
              <w:t>好，无老化等现象</w:t>
            </w:r>
          </w:p>
        </w:tc>
      </w:tr>
      <w:tr w14:paraId="50A73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575" w:type="dxa"/>
            <w:vMerge w:val="continue"/>
            <w:tcBorders>
              <w:top w:val="nil"/>
            </w:tcBorders>
            <w:vAlign w:val="top"/>
          </w:tcPr>
          <w:p w14:paraId="264683A0">
            <w:pPr>
              <w:rPr>
                <w:rFonts w:hint="eastAsia" w:ascii="宋体" w:hAnsi="宋体" w:eastAsia="宋体" w:cs="宋体"/>
                <w:sz w:val="19"/>
                <w:szCs w:val="19"/>
              </w:rPr>
            </w:pPr>
          </w:p>
        </w:tc>
        <w:tc>
          <w:tcPr>
            <w:tcW w:w="3766" w:type="dxa"/>
            <w:vMerge w:val="continue"/>
            <w:tcBorders>
              <w:top w:val="nil"/>
            </w:tcBorders>
            <w:vAlign w:val="top"/>
          </w:tcPr>
          <w:p w14:paraId="59FD2AC5">
            <w:pPr>
              <w:rPr>
                <w:rFonts w:hint="eastAsia" w:ascii="宋体" w:hAnsi="宋体" w:eastAsia="宋体" w:cs="宋体"/>
                <w:sz w:val="19"/>
                <w:szCs w:val="19"/>
              </w:rPr>
            </w:pPr>
          </w:p>
        </w:tc>
        <w:tc>
          <w:tcPr>
            <w:tcW w:w="510" w:type="dxa"/>
            <w:vAlign w:val="top"/>
          </w:tcPr>
          <w:p w14:paraId="5274732E">
            <w:pPr>
              <w:pStyle w:val="20"/>
              <w:spacing w:before="298"/>
              <w:ind w:left="155"/>
              <w:rPr>
                <w:rFonts w:hint="eastAsia" w:ascii="宋体" w:hAnsi="宋体" w:eastAsia="宋体" w:cs="宋体"/>
                <w:sz w:val="19"/>
                <w:szCs w:val="19"/>
              </w:rPr>
            </w:pPr>
            <w:r>
              <w:rPr>
                <w:rFonts w:hint="eastAsia" w:ascii="宋体" w:hAnsi="宋体" w:eastAsia="宋体" w:cs="宋体"/>
                <w:spacing w:val="-2"/>
                <w:sz w:val="19"/>
                <w:szCs w:val="19"/>
              </w:rPr>
              <w:t>46</w:t>
            </w:r>
          </w:p>
        </w:tc>
        <w:tc>
          <w:tcPr>
            <w:tcW w:w="4106" w:type="dxa"/>
            <w:vAlign w:val="top"/>
          </w:tcPr>
          <w:p w14:paraId="13F55886">
            <w:pPr>
              <w:pStyle w:val="20"/>
              <w:spacing w:before="100" w:line="219" w:lineRule="auto"/>
              <w:jc w:val="right"/>
              <w:rPr>
                <w:rFonts w:hint="eastAsia" w:ascii="宋体" w:hAnsi="宋体" w:eastAsia="宋体" w:cs="宋体"/>
                <w:sz w:val="19"/>
                <w:szCs w:val="19"/>
              </w:rPr>
            </w:pPr>
            <w:r>
              <w:rPr>
                <w:rFonts w:hint="eastAsia" w:ascii="宋体" w:hAnsi="宋体" w:eastAsia="宋体" w:cs="宋体"/>
                <w:spacing w:val="-6"/>
                <w:sz w:val="19"/>
                <w:szCs w:val="19"/>
              </w:rPr>
              <w:t>驱动轮，导向轮承部无异常声响，无振动，润</w:t>
            </w:r>
            <w:r>
              <w:rPr>
                <w:rFonts w:hint="eastAsia" w:ascii="宋体" w:hAnsi="宋体" w:eastAsia="宋体" w:cs="宋体"/>
                <w:spacing w:val="-7"/>
                <w:sz w:val="19"/>
                <w:szCs w:val="19"/>
              </w:rPr>
              <w:t>滑良好</w:t>
            </w:r>
          </w:p>
        </w:tc>
      </w:tr>
      <w:tr w14:paraId="56C3D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75" w:type="dxa"/>
            <w:vAlign w:val="top"/>
          </w:tcPr>
          <w:p w14:paraId="0D481953">
            <w:pPr>
              <w:pStyle w:val="20"/>
              <w:spacing w:before="129"/>
              <w:ind w:left="74"/>
              <w:rPr>
                <w:rFonts w:hint="eastAsia" w:ascii="宋体" w:hAnsi="宋体" w:eastAsia="宋体" w:cs="宋体"/>
                <w:sz w:val="19"/>
                <w:szCs w:val="19"/>
              </w:rPr>
            </w:pPr>
            <w:r>
              <w:rPr>
                <w:rFonts w:hint="eastAsia" w:ascii="宋体" w:hAnsi="宋体" w:eastAsia="宋体" w:cs="宋体"/>
                <w:sz w:val="19"/>
                <w:szCs w:val="19"/>
              </w:rPr>
              <w:t>7</w:t>
            </w:r>
          </w:p>
        </w:tc>
        <w:tc>
          <w:tcPr>
            <w:tcW w:w="3766" w:type="dxa"/>
            <w:vAlign w:val="top"/>
          </w:tcPr>
          <w:p w14:paraId="69E687BE">
            <w:pPr>
              <w:pStyle w:val="20"/>
              <w:spacing w:before="111" w:line="219" w:lineRule="auto"/>
              <w:ind w:left="100"/>
              <w:rPr>
                <w:rFonts w:hint="eastAsia" w:ascii="宋体" w:hAnsi="宋体" w:eastAsia="宋体" w:cs="宋体"/>
                <w:sz w:val="19"/>
                <w:szCs w:val="19"/>
              </w:rPr>
            </w:pPr>
            <w:r>
              <w:rPr>
                <w:rFonts w:hint="eastAsia" w:ascii="宋体" w:hAnsi="宋体" w:eastAsia="宋体" w:cs="宋体"/>
                <w:spacing w:val="1"/>
                <w:sz w:val="19"/>
                <w:szCs w:val="19"/>
              </w:rPr>
              <w:t>编码器清洁，安装牢固</w:t>
            </w:r>
          </w:p>
        </w:tc>
        <w:tc>
          <w:tcPr>
            <w:tcW w:w="510" w:type="dxa"/>
            <w:vAlign w:val="top"/>
          </w:tcPr>
          <w:p w14:paraId="2BA3524F">
            <w:pPr>
              <w:pStyle w:val="20"/>
              <w:spacing w:before="199" w:line="195" w:lineRule="auto"/>
              <w:ind w:left="155"/>
              <w:rPr>
                <w:rFonts w:hint="eastAsia" w:ascii="宋体" w:hAnsi="宋体" w:eastAsia="宋体" w:cs="宋体"/>
                <w:sz w:val="19"/>
                <w:szCs w:val="19"/>
              </w:rPr>
            </w:pPr>
            <w:r>
              <w:rPr>
                <w:rFonts w:hint="eastAsia" w:ascii="宋体" w:hAnsi="宋体" w:eastAsia="宋体" w:cs="宋体"/>
                <w:spacing w:val="-2"/>
                <w:sz w:val="19"/>
                <w:szCs w:val="19"/>
              </w:rPr>
              <w:t>47</w:t>
            </w:r>
          </w:p>
        </w:tc>
        <w:tc>
          <w:tcPr>
            <w:tcW w:w="4106" w:type="dxa"/>
            <w:vAlign w:val="top"/>
          </w:tcPr>
          <w:p w14:paraId="76DC1EAF">
            <w:pPr>
              <w:pStyle w:val="20"/>
              <w:spacing w:before="111" w:line="219" w:lineRule="auto"/>
              <w:ind w:left="95"/>
              <w:rPr>
                <w:rFonts w:hint="eastAsia" w:ascii="宋体" w:hAnsi="宋体" w:eastAsia="宋体" w:cs="宋体"/>
                <w:sz w:val="19"/>
                <w:szCs w:val="19"/>
              </w:rPr>
            </w:pPr>
            <w:r>
              <w:rPr>
                <w:rFonts w:hint="eastAsia" w:ascii="宋体" w:hAnsi="宋体" w:eastAsia="宋体" w:cs="宋体"/>
                <w:sz w:val="19"/>
                <w:szCs w:val="19"/>
              </w:rPr>
              <w:t>曳引轮槽磨损量不超过制造单位要求</w:t>
            </w:r>
          </w:p>
        </w:tc>
      </w:tr>
      <w:tr w14:paraId="0BF4A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575" w:type="dxa"/>
            <w:vAlign w:val="top"/>
          </w:tcPr>
          <w:p w14:paraId="5CC3595B">
            <w:pPr>
              <w:pStyle w:val="20"/>
              <w:spacing w:before="248"/>
              <w:ind w:left="74"/>
              <w:rPr>
                <w:rFonts w:hint="eastAsia" w:ascii="宋体" w:hAnsi="宋体" w:eastAsia="宋体" w:cs="宋体"/>
                <w:sz w:val="19"/>
                <w:szCs w:val="19"/>
              </w:rPr>
            </w:pPr>
            <w:r>
              <w:rPr>
                <w:rFonts w:hint="eastAsia" w:ascii="宋体" w:hAnsi="宋体" w:eastAsia="宋体" w:cs="宋体"/>
                <w:sz w:val="19"/>
                <w:szCs w:val="19"/>
              </w:rPr>
              <w:t>8</w:t>
            </w:r>
          </w:p>
        </w:tc>
        <w:tc>
          <w:tcPr>
            <w:tcW w:w="3766" w:type="dxa"/>
            <w:vAlign w:val="top"/>
          </w:tcPr>
          <w:p w14:paraId="25ADAB2B">
            <w:pPr>
              <w:pStyle w:val="20"/>
              <w:spacing w:before="80" w:line="282" w:lineRule="auto"/>
              <w:ind w:left="100" w:firstLine="19"/>
              <w:rPr>
                <w:rFonts w:hint="eastAsia" w:ascii="宋体" w:hAnsi="宋体" w:eastAsia="宋体" w:cs="宋体"/>
                <w:sz w:val="19"/>
                <w:szCs w:val="19"/>
              </w:rPr>
            </w:pPr>
            <w:r>
              <w:rPr>
                <w:rFonts w:hint="eastAsia" w:ascii="宋体" w:hAnsi="宋体" w:eastAsia="宋体" w:cs="宋体"/>
                <w:spacing w:val="-7"/>
                <w:sz w:val="19"/>
                <w:szCs w:val="19"/>
              </w:rPr>
              <w:t>限速器各销轴部位润滑，转动灵活；电气开关正</w:t>
            </w:r>
            <w:r>
              <w:rPr>
                <w:rFonts w:hint="eastAsia" w:ascii="宋体" w:hAnsi="宋体" w:eastAsia="宋体" w:cs="宋体"/>
                <w:spacing w:val="1"/>
                <w:sz w:val="19"/>
                <w:szCs w:val="19"/>
              </w:rPr>
              <w:t xml:space="preserve"> </w:t>
            </w:r>
            <w:r>
              <w:rPr>
                <w:rFonts w:hint="eastAsia" w:ascii="宋体" w:hAnsi="宋体" w:eastAsia="宋体" w:cs="宋体"/>
                <w:sz w:val="19"/>
                <w:szCs w:val="19"/>
              </w:rPr>
              <w:t>常</w:t>
            </w:r>
          </w:p>
        </w:tc>
        <w:tc>
          <w:tcPr>
            <w:tcW w:w="510" w:type="dxa"/>
            <w:vAlign w:val="top"/>
          </w:tcPr>
          <w:p w14:paraId="59F5C843">
            <w:pPr>
              <w:pStyle w:val="20"/>
              <w:spacing w:before="248"/>
              <w:ind w:left="155"/>
              <w:rPr>
                <w:rFonts w:hint="eastAsia" w:ascii="宋体" w:hAnsi="宋体" w:eastAsia="宋体" w:cs="宋体"/>
                <w:sz w:val="19"/>
                <w:szCs w:val="19"/>
              </w:rPr>
            </w:pPr>
            <w:r>
              <w:rPr>
                <w:rFonts w:hint="eastAsia" w:ascii="宋体" w:hAnsi="宋体" w:eastAsia="宋体" w:cs="宋体"/>
                <w:spacing w:val="-2"/>
                <w:sz w:val="19"/>
                <w:szCs w:val="19"/>
              </w:rPr>
              <w:t>48</w:t>
            </w:r>
          </w:p>
        </w:tc>
        <w:tc>
          <w:tcPr>
            <w:tcW w:w="4106" w:type="dxa"/>
            <w:vAlign w:val="top"/>
          </w:tcPr>
          <w:p w14:paraId="30F72342">
            <w:pPr>
              <w:pStyle w:val="20"/>
              <w:spacing w:before="91" w:line="276" w:lineRule="auto"/>
              <w:ind w:left="95" w:right="18" w:firstLine="29"/>
              <w:rPr>
                <w:rFonts w:hint="eastAsia" w:ascii="宋体" w:hAnsi="宋体" w:eastAsia="宋体" w:cs="宋体"/>
                <w:sz w:val="19"/>
                <w:szCs w:val="19"/>
              </w:rPr>
            </w:pPr>
            <w:r>
              <w:rPr>
                <w:rFonts w:hint="eastAsia" w:ascii="宋体" w:hAnsi="宋体" w:eastAsia="宋体" w:cs="宋体"/>
                <w:spacing w:val="-1"/>
                <w:sz w:val="19"/>
                <w:szCs w:val="19"/>
              </w:rPr>
              <w:t>制动器动作状态监测装置工作正常，制动器动作可</w:t>
            </w:r>
            <w:r>
              <w:rPr>
                <w:rFonts w:hint="eastAsia" w:ascii="宋体" w:hAnsi="宋体" w:eastAsia="宋体" w:cs="宋体"/>
                <w:spacing w:val="13"/>
                <w:sz w:val="19"/>
                <w:szCs w:val="19"/>
              </w:rPr>
              <w:t xml:space="preserve"> </w:t>
            </w:r>
            <w:r>
              <w:rPr>
                <w:rFonts w:hint="eastAsia" w:ascii="宋体" w:hAnsi="宋体" w:eastAsia="宋体" w:cs="宋体"/>
                <w:sz w:val="19"/>
                <w:szCs w:val="19"/>
              </w:rPr>
              <w:t>靠</w:t>
            </w:r>
          </w:p>
        </w:tc>
      </w:tr>
      <w:tr w14:paraId="20CD4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575" w:type="dxa"/>
            <w:vAlign w:val="top"/>
          </w:tcPr>
          <w:p w14:paraId="02408CD9">
            <w:pPr>
              <w:pStyle w:val="20"/>
              <w:spacing w:before="258"/>
              <w:ind w:left="105"/>
              <w:rPr>
                <w:rFonts w:hint="eastAsia" w:ascii="宋体" w:hAnsi="宋体" w:eastAsia="宋体" w:cs="宋体"/>
                <w:sz w:val="19"/>
                <w:szCs w:val="19"/>
              </w:rPr>
            </w:pPr>
            <w:r>
              <w:rPr>
                <w:rFonts w:hint="eastAsia" w:ascii="宋体" w:hAnsi="宋体" w:eastAsia="宋体" w:cs="宋体"/>
                <w:sz w:val="19"/>
                <w:szCs w:val="19"/>
              </w:rPr>
              <w:t>9</w:t>
            </w:r>
          </w:p>
        </w:tc>
        <w:tc>
          <w:tcPr>
            <w:tcW w:w="3766" w:type="dxa"/>
            <w:vAlign w:val="top"/>
          </w:tcPr>
          <w:p w14:paraId="335A6927">
            <w:pPr>
              <w:pStyle w:val="20"/>
              <w:spacing w:before="241" w:line="219" w:lineRule="auto"/>
              <w:ind w:left="100"/>
              <w:rPr>
                <w:rFonts w:hint="eastAsia" w:ascii="宋体" w:hAnsi="宋体" w:eastAsia="宋体" w:cs="宋体"/>
                <w:sz w:val="19"/>
                <w:szCs w:val="19"/>
              </w:rPr>
            </w:pPr>
            <w:r>
              <w:rPr>
                <w:rFonts w:hint="eastAsia" w:ascii="宋体" w:hAnsi="宋体" w:eastAsia="宋体" w:cs="宋体"/>
                <w:spacing w:val="-1"/>
                <w:sz w:val="19"/>
                <w:szCs w:val="19"/>
              </w:rPr>
              <w:t>层门和轿门旁路装置工作正常</w:t>
            </w:r>
          </w:p>
        </w:tc>
        <w:tc>
          <w:tcPr>
            <w:tcW w:w="510" w:type="dxa"/>
            <w:vAlign w:val="top"/>
          </w:tcPr>
          <w:p w14:paraId="0FFAB265">
            <w:pPr>
              <w:pStyle w:val="20"/>
              <w:spacing w:before="258"/>
              <w:ind w:left="155"/>
              <w:rPr>
                <w:rFonts w:hint="eastAsia" w:ascii="宋体" w:hAnsi="宋体" w:eastAsia="宋体" w:cs="宋体"/>
                <w:sz w:val="19"/>
                <w:szCs w:val="19"/>
              </w:rPr>
            </w:pPr>
            <w:r>
              <w:rPr>
                <w:rFonts w:hint="eastAsia" w:ascii="宋体" w:hAnsi="宋体" w:eastAsia="宋体" w:cs="宋体"/>
                <w:spacing w:val="-2"/>
                <w:sz w:val="19"/>
                <w:szCs w:val="19"/>
              </w:rPr>
              <w:t>49</w:t>
            </w:r>
          </w:p>
        </w:tc>
        <w:tc>
          <w:tcPr>
            <w:tcW w:w="4106" w:type="dxa"/>
            <w:vAlign w:val="top"/>
          </w:tcPr>
          <w:p w14:paraId="24CF7F6D">
            <w:pPr>
              <w:pStyle w:val="20"/>
              <w:spacing w:before="91" w:line="286" w:lineRule="auto"/>
              <w:ind w:left="95" w:firstLine="19"/>
              <w:rPr>
                <w:rFonts w:hint="eastAsia" w:ascii="宋体" w:hAnsi="宋体" w:eastAsia="宋体" w:cs="宋体"/>
                <w:sz w:val="19"/>
                <w:szCs w:val="19"/>
              </w:rPr>
            </w:pPr>
            <w:r>
              <w:rPr>
                <w:rFonts w:hint="eastAsia" w:ascii="宋体" w:hAnsi="宋体" w:eastAsia="宋体" w:cs="宋体"/>
                <w:spacing w:val="-7"/>
                <w:sz w:val="19"/>
                <w:szCs w:val="19"/>
              </w:rPr>
              <w:t>控制柜内各接线端子各接线紧固，整齐，线号齐全清</w:t>
            </w:r>
            <w:r>
              <w:rPr>
                <w:rFonts w:hint="eastAsia" w:ascii="宋体" w:hAnsi="宋体" w:eastAsia="宋体" w:cs="宋体"/>
                <w:spacing w:val="1"/>
                <w:sz w:val="19"/>
                <w:szCs w:val="19"/>
              </w:rPr>
              <w:t xml:space="preserve"> </w:t>
            </w:r>
            <w:r>
              <w:rPr>
                <w:rFonts w:hint="eastAsia" w:ascii="宋体" w:hAnsi="宋体" w:eastAsia="宋体" w:cs="宋体"/>
                <w:sz w:val="19"/>
                <w:szCs w:val="19"/>
              </w:rPr>
              <w:t>晰</w:t>
            </w:r>
          </w:p>
        </w:tc>
      </w:tr>
      <w:tr w14:paraId="4EBC3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575" w:type="dxa"/>
            <w:vAlign w:val="top"/>
          </w:tcPr>
          <w:p w14:paraId="70A7974E">
            <w:pPr>
              <w:pStyle w:val="20"/>
              <w:spacing w:before="240" w:line="205" w:lineRule="auto"/>
              <w:ind w:left="185"/>
              <w:rPr>
                <w:rFonts w:hint="eastAsia" w:ascii="宋体" w:hAnsi="宋体" w:eastAsia="宋体" w:cs="宋体"/>
                <w:sz w:val="19"/>
                <w:szCs w:val="19"/>
              </w:rPr>
            </w:pPr>
            <w:r>
              <w:rPr>
                <w:rFonts w:hint="eastAsia" w:ascii="宋体" w:hAnsi="宋体" w:eastAsia="宋体" w:cs="宋体"/>
                <w:spacing w:val="-6"/>
                <w:sz w:val="19"/>
                <w:szCs w:val="19"/>
              </w:rPr>
              <w:t>10</w:t>
            </w:r>
          </w:p>
        </w:tc>
        <w:tc>
          <w:tcPr>
            <w:tcW w:w="3766" w:type="dxa"/>
            <w:vAlign w:val="top"/>
          </w:tcPr>
          <w:p w14:paraId="2A377649">
            <w:pPr>
              <w:pStyle w:val="20"/>
              <w:spacing w:before="172" w:line="219" w:lineRule="auto"/>
              <w:ind w:left="100"/>
              <w:rPr>
                <w:rFonts w:hint="eastAsia" w:ascii="宋体" w:hAnsi="宋体" w:eastAsia="宋体" w:cs="宋体"/>
                <w:sz w:val="19"/>
                <w:szCs w:val="19"/>
              </w:rPr>
            </w:pPr>
            <w:r>
              <w:rPr>
                <w:rFonts w:hint="eastAsia" w:ascii="宋体" w:hAnsi="宋体" w:eastAsia="宋体" w:cs="宋体"/>
                <w:sz w:val="19"/>
                <w:szCs w:val="19"/>
              </w:rPr>
              <w:t>紧急电动运行工作正常</w:t>
            </w:r>
          </w:p>
        </w:tc>
        <w:tc>
          <w:tcPr>
            <w:tcW w:w="510" w:type="dxa"/>
            <w:vAlign w:val="top"/>
          </w:tcPr>
          <w:p w14:paraId="4289380B">
            <w:pPr>
              <w:pStyle w:val="20"/>
              <w:spacing w:before="240" w:line="205" w:lineRule="auto"/>
              <w:ind w:left="155"/>
              <w:rPr>
                <w:rFonts w:hint="eastAsia" w:ascii="宋体" w:hAnsi="宋体" w:eastAsia="宋体" w:cs="宋体"/>
                <w:sz w:val="19"/>
                <w:szCs w:val="19"/>
              </w:rPr>
            </w:pPr>
            <w:r>
              <w:rPr>
                <w:rFonts w:hint="eastAsia" w:ascii="宋体" w:hAnsi="宋体" w:eastAsia="宋体" w:cs="宋体"/>
                <w:spacing w:val="-3"/>
                <w:sz w:val="19"/>
                <w:szCs w:val="19"/>
              </w:rPr>
              <w:t>50</w:t>
            </w:r>
          </w:p>
        </w:tc>
        <w:tc>
          <w:tcPr>
            <w:tcW w:w="4106" w:type="dxa"/>
            <w:vAlign w:val="top"/>
          </w:tcPr>
          <w:p w14:paraId="7CAA407C">
            <w:pPr>
              <w:pStyle w:val="20"/>
              <w:spacing w:before="162" w:line="219" w:lineRule="auto"/>
              <w:ind w:left="95"/>
              <w:rPr>
                <w:rFonts w:hint="eastAsia" w:ascii="宋体" w:hAnsi="宋体" w:eastAsia="宋体" w:cs="宋体"/>
                <w:sz w:val="19"/>
                <w:szCs w:val="19"/>
              </w:rPr>
            </w:pPr>
            <w:r>
              <w:rPr>
                <w:rFonts w:hint="eastAsia" w:ascii="宋体" w:hAnsi="宋体" w:eastAsia="宋体" w:cs="宋体"/>
                <w:spacing w:val="-1"/>
                <w:sz w:val="19"/>
                <w:szCs w:val="19"/>
              </w:rPr>
              <w:t>控制柜各仪表显示正常</w:t>
            </w:r>
          </w:p>
        </w:tc>
      </w:tr>
      <w:tr w14:paraId="657D2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575" w:type="dxa"/>
            <w:vAlign w:val="top"/>
          </w:tcPr>
          <w:p w14:paraId="67E24837">
            <w:pPr>
              <w:pStyle w:val="20"/>
              <w:spacing w:before="260" w:line="241" w:lineRule="auto"/>
              <w:ind w:left="185"/>
              <w:rPr>
                <w:rFonts w:hint="eastAsia" w:ascii="宋体" w:hAnsi="宋体" w:eastAsia="宋体" w:cs="宋体"/>
                <w:sz w:val="19"/>
                <w:szCs w:val="19"/>
              </w:rPr>
            </w:pPr>
            <w:r>
              <w:rPr>
                <w:rFonts w:hint="eastAsia" w:ascii="宋体" w:hAnsi="宋体" w:eastAsia="宋体" w:cs="宋体"/>
                <w:spacing w:val="-6"/>
                <w:sz w:val="19"/>
                <w:szCs w:val="19"/>
              </w:rPr>
              <w:t>11</w:t>
            </w:r>
          </w:p>
        </w:tc>
        <w:tc>
          <w:tcPr>
            <w:tcW w:w="3766" w:type="dxa"/>
            <w:vAlign w:val="top"/>
          </w:tcPr>
          <w:p w14:paraId="221E6C3B">
            <w:pPr>
              <w:pStyle w:val="20"/>
              <w:spacing w:before="242" w:line="219" w:lineRule="auto"/>
              <w:ind w:left="100"/>
              <w:rPr>
                <w:rFonts w:hint="eastAsia" w:ascii="宋体" w:hAnsi="宋体" w:eastAsia="宋体" w:cs="宋体"/>
                <w:sz w:val="19"/>
                <w:szCs w:val="19"/>
              </w:rPr>
            </w:pPr>
            <w:r>
              <w:rPr>
                <w:rFonts w:hint="eastAsia" w:ascii="宋体" w:hAnsi="宋体" w:eastAsia="宋体" w:cs="宋体"/>
                <w:spacing w:val="-1"/>
                <w:sz w:val="19"/>
                <w:szCs w:val="19"/>
              </w:rPr>
              <w:t>轿顶清洁.防护栏安全可靠</w:t>
            </w:r>
          </w:p>
        </w:tc>
        <w:tc>
          <w:tcPr>
            <w:tcW w:w="510" w:type="dxa"/>
            <w:vAlign w:val="top"/>
          </w:tcPr>
          <w:p w14:paraId="29EAA061">
            <w:pPr>
              <w:pStyle w:val="20"/>
              <w:spacing w:before="259"/>
              <w:ind w:left="155"/>
              <w:rPr>
                <w:rFonts w:hint="eastAsia" w:ascii="宋体" w:hAnsi="宋体" w:eastAsia="宋体" w:cs="宋体"/>
                <w:sz w:val="19"/>
                <w:szCs w:val="19"/>
              </w:rPr>
            </w:pPr>
            <w:r>
              <w:rPr>
                <w:rFonts w:hint="eastAsia" w:ascii="宋体" w:hAnsi="宋体" w:eastAsia="宋体" w:cs="宋体"/>
                <w:spacing w:val="-3"/>
                <w:sz w:val="19"/>
                <w:szCs w:val="19"/>
              </w:rPr>
              <w:t>51</w:t>
            </w:r>
          </w:p>
        </w:tc>
        <w:tc>
          <w:tcPr>
            <w:tcW w:w="4106" w:type="dxa"/>
            <w:vAlign w:val="top"/>
          </w:tcPr>
          <w:p w14:paraId="38D78BBA">
            <w:pPr>
              <w:pStyle w:val="20"/>
              <w:spacing w:before="101" w:line="281" w:lineRule="auto"/>
              <w:ind w:left="95" w:firstLine="19"/>
              <w:rPr>
                <w:rFonts w:hint="eastAsia" w:ascii="宋体" w:hAnsi="宋体" w:eastAsia="宋体" w:cs="宋体"/>
                <w:sz w:val="19"/>
                <w:szCs w:val="19"/>
              </w:rPr>
            </w:pPr>
            <w:r>
              <w:rPr>
                <w:rFonts w:hint="eastAsia" w:ascii="宋体" w:hAnsi="宋体" w:eastAsia="宋体" w:cs="宋体"/>
                <w:spacing w:val="-7"/>
                <w:sz w:val="19"/>
                <w:szCs w:val="19"/>
              </w:rPr>
              <w:t>井道、对重、轿顶各反绳轮轴承部无异常声响，无振</w:t>
            </w:r>
            <w:r>
              <w:rPr>
                <w:rFonts w:hint="eastAsia" w:ascii="宋体" w:hAnsi="宋体" w:eastAsia="宋体" w:cs="宋体"/>
                <w:spacing w:val="1"/>
                <w:sz w:val="19"/>
                <w:szCs w:val="19"/>
              </w:rPr>
              <w:t xml:space="preserve"> </w:t>
            </w:r>
            <w:r>
              <w:rPr>
                <w:rFonts w:hint="eastAsia" w:ascii="宋体" w:hAnsi="宋体" w:eastAsia="宋体" w:cs="宋体"/>
                <w:spacing w:val="-2"/>
                <w:sz w:val="19"/>
                <w:szCs w:val="19"/>
              </w:rPr>
              <w:t>动，润滑良好</w:t>
            </w:r>
          </w:p>
        </w:tc>
      </w:tr>
      <w:tr w14:paraId="3EEDE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75" w:type="dxa"/>
            <w:vAlign w:val="top"/>
          </w:tcPr>
          <w:p w14:paraId="1A2E1BBB">
            <w:pPr>
              <w:pStyle w:val="20"/>
              <w:spacing w:before="131" w:line="241" w:lineRule="auto"/>
              <w:ind w:left="185"/>
              <w:rPr>
                <w:rFonts w:hint="eastAsia" w:ascii="宋体" w:hAnsi="宋体" w:eastAsia="宋体" w:cs="宋体"/>
                <w:sz w:val="19"/>
                <w:szCs w:val="19"/>
              </w:rPr>
            </w:pPr>
            <w:r>
              <w:rPr>
                <w:rFonts w:hint="eastAsia" w:ascii="宋体" w:hAnsi="宋体" w:eastAsia="宋体" w:cs="宋体"/>
                <w:spacing w:val="-6"/>
                <w:sz w:val="19"/>
                <w:szCs w:val="19"/>
              </w:rPr>
              <w:t>12</w:t>
            </w:r>
          </w:p>
        </w:tc>
        <w:tc>
          <w:tcPr>
            <w:tcW w:w="3766" w:type="dxa"/>
            <w:vAlign w:val="top"/>
          </w:tcPr>
          <w:p w14:paraId="3AB8E519">
            <w:pPr>
              <w:pStyle w:val="20"/>
              <w:spacing w:before="113" w:line="219" w:lineRule="auto"/>
              <w:ind w:left="100"/>
              <w:rPr>
                <w:rFonts w:hint="eastAsia" w:ascii="宋体" w:hAnsi="宋体" w:eastAsia="宋体" w:cs="宋体"/>
                <w:sz w:val="19"/>
                <w:szCs w:val="19"/>
              </w:rPr>
            </w:pPr>
            <w:r>
              <w:rPr>
                <w:rFonts w:hint="eastAsia" w:ascii="宋体" w:hAnsi="宋体" w:eastAsia="宋体" w:cs="宋体"/>
                <w:spacing w:val="-1"/>
                <w:sz w:val="19"/>
                <w:szCs w:val="19"/>
              </w:rPr>
              <w:t>轿顶检修开关、停止装置工作正常</w:t>
            </w:r>
          </w:p>
        </w:tc>
        <w:tc>
          <w:tcPr>
            <w:tcW w:w="510" w:type="dxa"/>
            <w:vAlign w:val="top"/>
          </w:tcPr>
          <w:p w14:paraId="68CDA012">
            <w:pPr>
              <w:pStyle w:val="20"/>
              <w:spacing w:before="191" w:line="204" w:lineRule="auto"/>
              <w:ind w:left="155"/>
              <w:rPr>
                <w:rFonts w:hint="eastAsia" w:ascii="宋体" w:hAnsi="宋体" w:eastAsia="宋体" w:cs="宋体"/>
                <w:sz w:val="19"/>
                <w:szCs w:val="19"/>
              </w:rPr>
            </w:pPr>
            <w:r>
              <w:rPr>
                <w:rFonts w:hint="eastAsia" w:ascii="宋体" w:hAnsi="宋体" w:eastAsia="宋体" w:cs="宋体"/>
                <w:spacing w:val="-3"/>
                <w:sz w:val="19"/>
                <w:szCs w:val="19"/>
              </w:rPr>
              <w:t>52</w:t>
            </w:r>
          </w:p>
        </w:tc>
        <w:tc>
          <w:tcPr>
            <w:tcW w:w="4106" w:type="dxa"/>
            <w:vAlign w:val="top"/>
          </w:tcPr>
          <w:p w14:paraId="44E93DF7">
            <w:pPr>
              <w:pStyle w:val="20"/>
              <w:spacing w:before="113" w:line="219" w:lineRule="auto"/>
              <w:ind w:left="95"/>
              <w:rPr>
                <w:rFonts w:hint="eastAsia" w:ascii="宋体" w:hAnsi="宋体" w:eastAsia="宋体" w:cs="宋体"/>
                <w:sz w:val="19"/>
                <w:szCs w:val="19"/>
              </w:rPr>
            </w:pPr>
            <w:r>
              <w:rPr>
                <w:rFonts w:hint="eastAsia" w:ascii="宋体" w:hAnsi="宋体" w:eastAsia="宋体" w:cs="宋体"/>
                <w:spacing w:val="-1"/>
                <w:sz w:val="19"/>
                <w:szCs w:val="19"/>
              </w:rPr>
              <w:t>悬挂装置、补偿绳磨损量、断丝数不超过要求</w:t>
            </w:r>
          </w:p>
        </w:tc>
      </w:tr>
      <w:tr w14:paraId="6F886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575" w:type="dxa"/>
            <w:vAlign w:val="top"/>
          </w:tcPr>
          <w:p w14:paraId="0DB91B6C">
            <w:pPr>
              <w:pStyle w:val="20"/>
              <w:spacing w:before="261"/>
              <w:ind w:left="185"/>
              <w:rPr>
                <w:rFonts w:hint="eastAsia" w:ascii="宋体" w:hAnsi="宋体" w:eastAsia="宋体" w:cs="宋体"/>
                <w:sz w:val="19"/>
                <w:szCs w:val="19"/>
              </w:rPr>
            </w:pPr>
            <w:r>
              <w:rPr>
                <w:rFonts w:hint="eastAsia" w:ascii="宋体" w:hAnsi="宋体" w:eastAsia="宋体" w:cs="宋体"/>
                <w:spacing w:val="-6"/>
                <w:sz w:val="19"/>
                <w:szCs w:val="19"/>
              </w:rPr>
              <w:t>13</w:t>
            </w:r>
          </w:p>
        </w:tc>
        <w:tc>
          <w:tcPr>
            <w:tcW w:w="3766" w:type="dxa"/>
            <w:vAlign w:val="top"/>
          </w:tcPr>
          <w:p w14:paraId="7D32078C">
            <w:pPr>
              <w:pStyle w:val="20"/>
              <w:spacing w:before="112" w:line="275" w:lineRule="auto"/>
              <w:ind w:left="100" w:firstLine="19"/>
              <w:rPr>
                <w:rFonts w:hint="eastAsia" w:ascii="宋体" w:hAnsi="宋体" w:eastAsia="宋体" w:cs="宋体"/>
                <w:sz w:val="19"/>
                <w:szCs w:val="19"/>
              </w:rPr>
            </w:pPr>
            <w:r>
              <w:rPr>
                <w:rFonts w:hint="eastAsia" w:ascii="宋体" w:hAnsi="宋体" w:eastAsia="宋体" w:cs="宋体"/>
                <w:spacing w:val="-7"/>
                <w:sz w:val="19"/>
                <w:szCs w:val="19"/>
              </w:rPr>
              <w:t>导靴上油杯吸油毛毡齐全，油量适宜，油杯无泄</w:t>
            </w:r>
            <w:r>
              <w:rPr>
                <w:rFonts w:hint="eastAsia" w:ascii="宋体" w:hAnsi="宋体" w:eastAsia="宋体" w:cs="宋体"/>
                <w:spacing w:val="1"/>
                <w:sz w:val="19"/>
                <w:szCs w:val="19"/>
              </w:rPr>
              <w:t xml:space="preserve"> </w:t>
            </w:r>
            <w:r>
              <w:rPr>
                <w:rFonts w:hint="eastAsia" w:ascii="宋体" w:hAnsi="宋体" w:eastAsia="宋体" w:cs="宋体"/>
                <w:sz w:val="19"/>
                <w:szCs w:val="19"/>
              </w:rPr>
              <w:t>漏</w:t>
            </w:r>
          </w:p>
        </w:tc>
        <w:tc>
          <w:tcPr>
            <w:tcW w:w="510" w:type="dxa"/>
            <w:vAlign w:val="top"/>
          </w:tcPr>
          <w:p w14:paraId="1DFF80B4">
            <w:pPr>
              <w:pStyle w:val="20"/>
              <w:spacing w:before="261"/>
              <w:ind w:left="155"/>
              <w:rPr>
                <w:rFonts w:hint="eastAsia" w:ascii="宋体" w:hAnsi="宋体" w:eastAsia="宋体" w:cs="宋体"/>
                <w:sz w:val="19"/>
                <w:szCs w:val="19"/>
              </w:rPr>
            </w:pPr>
            <w:r>
              <w:rPr>
                <w:rFonts w:hint="eastAsia" w:ascii="宋体" w:hAnsi="宋体" w:eastAsia="宋体" w:cs="宋体"/>
                <w:spacing w:val="-3"/>
                <w:sz w:val="19"/>
                <w:szCs w:val="19"/>
              </w:rPr>
              <w:t>53</w:t>
            </w:r>
          </w:p>
        </w:tc>
        <w:tc>
          <w:tcPr>
            <w:tcW w:w="4106" w:type="dxa"/>
            <w:vAlign w:val="top"/>
          </w:tcPr>
          <w:p w14:paraId="454C6B4B">
            <w:pPr>
              <w:pStyle w:val="20"/>
              <w:spacing w:before="243" w:line="219" w:lineRule="auto"/>
              <w:ind w:left="95"/>
              <w:rPr>
                <w:rFonts w:hint="eastAsia" w:ascii="宋体" w:hAnsi="宋体" w:eastAsia="宋体" w:cs="宋体"/>
                <w:sz w:val="19"/>
                <w:szCs w:val="19"/>
              </w:rPr>
            </w:pPr>
            <w:r>
              <w:rPr>
                <w:rFonts w:hint="eastAsia" w:ascii="宋体" w:hAnsi="宋体" w:eastAsia="宋体" w:cs="宋体"/>
                <w:spacing w:val="-1"/>
                <w:sz w:val="19"/>
                <w:szCs w:val="19"/>
              </w:rPr>
              <w:t>绳头组合螺母无松动</w:t>
            </w:r>
          </w:p>
        </w:tc>
      </w:tr>
      <w:tr w14:paraId="1CC25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575" w:type="dxa"/>
            <w:vAlign w:val="top"/>
          </w:tcPr>
          <w:p w14:paraId="4AE0D025">
            <w:pPr>
              <w:pStyle w:val="20"/>
              <w:spacing w:before="222" w:line="213" w:lineRule="auto"/>
              <w:ind w:left="185"/>
              <w:rPr>
                <w:rFonts w:hint="eastAsia" w:ascii="宋体" w:hAnsi="宋体" w:eastAsia="宋体" w:cs="宋体"/>
                <w:sz w:val="19"/>
                <w:szCs w:val="19"/>
              </w:rPr>
            </w:pPr>
            <w:r>
              <w:rPr>
                <w:rFonts w:hint="eastAsia" w:ascii="宋体" w:hAnsi="宋体" w:eastAsia="宋体" w:cs="宋体"/>
                <w:spacing w:val="-6"/>
                <w:sz w:val="19"/>
                <w:szCs w:val="19"/>
              </w:rPr>
              <w:t>14</w:t>
            </w:r>
          </w:p>
        </w:tc>
        <w:tc>
          <w:tcPr>
            <w:tcW w:w="3766" w:type="dxa"/>
            <w:vAlign w:val="top"/>
          </w:tcPr>
          <w:p w14:paraId="09E85E35">
            <w:pPr>
              <w:pStyle w:val="20"/>
              <w:spacing w:before="173" w:line="219" w:lineRule="auto"/>
              <w:ind w:left="100"/>
              <w:rPr>
                <w:rFonts w:hint="eastAsia" w:ascii="宋体" w:hAnsi="宋体" w:eastAsia="宋体" w:cs="宋体"/>
                <w:sz w:val="19"/>
                <w:szCs w:val="19"/>
              </w:rPr>
            </w:pPr>
            <w:r>
              <w:rPr>
                <w:rFonts w:hint="eastAsia" w:ascii="宋体" w:hAnsi="宋体" w:eastAsia="宋体" w:cs="宋体"/>
                <w:sz w:val="19"/>
                <w:szCs w:val="19"/>
              </w:rPr>
              <w:t>对重/平衡重块及其压板无松动，压板紧固</w:t>
            </w:r>
          </w:p>
        </w:tc>
        <w:tc>
          <w:tcPr>
            <w:tcW w:w="510" w:type="dxa"/>
            <w:vAlign w:val="top"/>
          </w:tcPr>
          <w:p w14:paraId="7F678AE2">
            <w:pPr>
              <w:pStyle w:val="20"/>
              <w:spacing w:before="222" w:line="213" w:lineRule="auto"/>
              <w:ind w:left="155"/>
              <w:rPr>
                <w:rFonts w:hint="eastAsia" w:ascii="宋体" w:hAnsi="宋体" w:eastAsia="宋体" w:cs="宋体"/>
                <w:sz w:val="19"/>
                <w:szCs w:val="19"/>
              </w:rPr>
            </w:pPr>
            <w:r>
              <w:rPr>
                <w:rFonts w:hint="eastAsia" w:ascii="宋体" w:hAnsi="宋体" w:eastAsia="宋体" w:cs="宋体"/>
                <w:spacing w:val="-3"/>
                <w:sz w:val="19"/>
                <w:szCs w:val="19"/>
              </w:rPr>
              <w:t>54</w:t>
            </w:r>
          </w:p>
        </w:tc>
        <w:tc>
          <w:tcPr>
            <w:tcW w:w="4106" w:type="dxa"/>
            <w:vAlign w:val="top"/>
          </w:tcPr>
          <w:p w14:paraId="43B5B0C1">
            <w:pPr>
              <w:pStyle w:val="20"/>
              <w:spacing w:before="174" w:line="219" w:lineRule="auto"/>
              <w:ind w:left="95"/>
              <w:rPr>
                <w:rFonts w:hint="eastAsia" w:ascii="宋体" w:hAnsi="宋体" w:eastAsia="宋体" w:cs="宋体"/>
                <w:sz w:val="19"/>
                <w:szCs w:val="19"/>
              </w:rPr>
            </w:pPr>
            <w:r>
              <w:rPr>
                <w:rFonts w:hint="eastAsia" w:ascii="宋体" w:hAnsi="宋体" w:eastAsia="宋体" w:cs="宋体"/>
                <w:sz w:val="19"/>
                <w:szCs w:val="19"/>
              </w:rPr>
              <w:t>限速器钢丝绳磨损量、断丝数不超过制造单位要求</w:t>
            </w:r>
          </w:p>
        </w:tc>
      </w:tr>
      <w:tr w14:paraId="6F3E0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575" w:type="dxa"/>
            <w:vAlign w:val="top"/>
          </w:tcPr>
          <w:p w14:paraId="2463B6CA">
            <w:pPr>
              <w:pStyle w:val="20"/>
              <w:spacing w:before="132"/>
              <w:ind w:left="185"/>
              <w:rPr>
                <w:rFonts w:hint="eastAsia" w:ascii="宋体" w:hAnsi="宋体" w:eastAsia="宋体" w:cs="宋体"/>
                <w:sz w:val="19"/>
                <w:szCs w:val="19"/>
              </w:rPr>
            </w:pPr>
            <w:r>
              <w:rPr>
                <w:rFonts w:hint="eastAsia" w:ascii="宋体" w:hAnsi="宋体" w:eastAsia="宋体" w:cs="宋体"/>
                <w:spacing w:val="-6"/>
                <w:sz w:val="19"/>
                <w:szCs w:val="19"/>
              </w:rPr>
              <w:t>15</w:t>
            </w:r>
          </w:p>
        </w:tc>
        <w:tc>
          <w:tcPr>
            <w:tcW w:w="3766" w:type="dxa"/>
            <w:vAlign w:val="top"/>
          </w:tcPr>
          <w:p w14:paraId="38ADA7B4">
            <w:pPr>
              <w:pStyle w:val="20"/>
              <w:spacing w:before="114" w:line="219" w:lineRule="auto"/>
              <w:ind w:left="100"/>
              <w:rPr>
                <w:rFonts w:hint="eastAsia" w:ascii="宋体" w:hAnsi="宋体" w:eastAsia="宋体" w:cs="宋体"/>
                <w:sz w:val="19"/>
                <w:szCs w:val="19"/>
              </w:rPr>
            </w:pPr>
            <w:r>
              <w:rPr>
                <w:rFonts w:hint="eastAsia" w:ascii="宋体" w:hAnsi="宋体" w:eastAsia="宋体" w:cs="宋体"/>
                <w:spacing w:val="-1"/>
                <w:sz w:val="19"/>
                <w:szCs w:val="19"/>
              </w:rPr>
              <w:t>井道照明齐全，正常</w:t>
            </w:r>
          </w:p>
        </w:tc>
        <w:tc>
          <w:tcPr>
            <w:tcW w:w="510" w:type="dxa"/>
            <w:vAlign w:val="top"/>
          </w:tcPr>
          <w:p w14:paraId="65801D4A">
            <w:pPr>
              <w:pStyle w:val="20"/>
              <w:spacing w:before="132"/>
              <w:ind w:left="155"/>
              <w:rPr>
                <w:rFonts w:hint="eastAsia" w:ascii="宋体" w:hAnsi="宋体" w:eastAsia="宋体" w:cs="宋体"/>
                <w:sz w:val="19"/>
                <w:szCs w:val="19"/>
              </w:rPr>
            </w:pPr>
            <w:r>
              <w:rPr>
                <w:rFonts w:hint="eastAsia" w:ascii="宋体" w:hAnsi="宋体" w:eastAsia="宋体" w:cs="宋体"/>
                <w:spacing w:val="-3"/>
                <w:sz w:val="19"/>
                <w:szCs w:val="19"/>
              </w:rPr>
              <w:t>55</w:t>
            </w:r>
          </w:p>
        </w:tc>
        <w:tc>
          <w:tcPr>
            <w:tcW w:w="4106" w:type="dxa"/>
            <w:vAlign w:val="top"/>
          </w:tcPr>
          <w:p w14:paraId="3A967BCC">
            <w:pPr>
              <w:pStyle w:val="20"/>
              <w:spacing w:before="114" w:line="219" w:lineRule="auto"/>
              <w:ind w:left="95"/>
              <w:rPr>
                <w:rFonts w:hint="eastAsia" w:ascii="宋体" w:hAnsi="宋体" w:eastAsia="宋体" w:cs="宋体"/>
                <w:sz w:val="19"/>
                <w:szCs w:val="19"/>
              </w:rPr>
            </w:pPr>
            <w:r>
              <w:rPr>
                <w:rFonts w:hint="eastAsia" w:ascii="宋体" w:hAnsi="宋体" w:eastAsia="宋体" w:cs="宋体"/>
                <w:spacing w:val="-1"/>
                <w:sz w:val="19"/>
                <w:szCs w:val="19"/>
              </w:rPr>
              <w:t>层门、轿门门扇、门扇各相关间隙符合标准值</w:t>
            </w:r>
          </w:p>
        </w:tc>
      </w:tr>
      <w:tr w14:paraId="44445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575" w:type="dxa"/>
            <w:vAlign w:val="top"/>
          </w:tcPr>
          <w:p w14:paraId="76601259">
            <w:pPr>
              <w:pStyle w:val="20"/>
              <w:spacing w:before="223" w:line="222" w:lineRule="auto"/>
              <w:ind w:left="185"/>
              <w:rPr>
                <w:rFonts w:hint="eastAsia" w:ascii="宋体" w:hAnsi="宋体" w:eastAsia="宋体" w:cs="宋体"/>
                <w:sz w:val="19"/>
                <w:szCs w:val="19"/>
              </w:rPr>
            </w:pPr>
            <w:r>
              <w:rPr>
                <w:rFonts w:hint="eastAsia" w:ascii="宋体" w:hAnsi="宋体" w:eastAsia="宋体" w:cs="宋体"/>
                <w:spacing w:val="-6"/>
                <w:sz w:val="19"/>
                <w:szCs w:val="19"/>
              </w:rPr>
              <w:t>16</w:t>
            </w:r>
          </w:p>
        </w:tc>
        <w:tc>
          <w:tcPr>
            <w:tcW w:w="3766" w:type="dxa"/>
            <w:vAlign w:val="top"/>
          </w:tcPr>
          <w:p w14:paraId="7DAF58CE">
            <w:pPr>
              <w:pStyle w:val="20"/>
              <w:spacing w:before="145" w:line="219" w:lineRule="auto"/>
              <w:ind w:left="100"/>
              <w:rPr>
                <w:rFonts w:hint="eastAsia" w:ascii="宋体" w:hAnsi="宋体" w:eastAsia="宋体" w:cs="宋体"/>
                <w:sz w:val="19"/>
                <w:szCs w:val="19"/>
              </w:rPr>
            </w:pPr>
            <w:r>
              <w:rPr>
                <w:rFonts w:hint="eastAsia" w:ascii="宋体" w:hAnsi="宋体" w:eastAsia="宋体" w:cs="宋体"/>
                <w:spacing w:val="-1"/>
                <w:sz w:val="19"/>
                <w:szCs w:val="19"/>
              </w:rPr>
              <w:t>轿厢照明、风扇、应急照明工作正常</w:t>
            </w:r>
          </w:p>
        </w:tc>
        <w:tc>
          <w:tcPr>
            <w:tcW w:w="510" w:type="dxa"/>
            <w:vAlign w:val="top"/>
          </w:tcPr>
          <w:p w14:paraId="7F396A55">
            <w:pPr>
              <w:pStyle w:val="20"/>
              <w:spacing w:before="253" w:line="191" w:lineRule="auto"/>
              <w:ind w:left="155"/>
              <w:rPr>
                <w:rFonts w:hint="eastAsia" w:ascii="宋体" w:hAnsi="宋体" w:eastAsia="宋体" w:cs="宋体"/>
                <w:sz w:val="19"/>
                <w:szCs w:val="19"/>
              </w:rPr>
            </w:pPr>
            <w:r>
              <w:rPr>
                <w:rFonts w:hint="eastAsia" w:ascii="宋体" w:hAnsi="宋体" w:eastAsia="宋体" w:cs="宋体"/>
                <w:spacing w:val="-3"/>
                <w:sz w:val="19"/>
                <w:szCs w:val="19"/>
              </w:rPr>
              <w:t>56</w:t>
            </w:r>
          </w:p>
        </w:tc>
        <w:tc>
          <w:tcPr>
            <w:tcW w:w="4106" w:type="dxa"/>
            <w:vAlign w:val="top"/>
          </w:tcPr>
          <w:p w14:paraId="5BD495E8">
            <w:pPr>
              <w:pStyle w:val="20"/>
              <w:spacing w:before="186" w:line="220" w:lineRule="auto"/>
              <w:ind w:left="95"/>
              <w:rPr>
                <w:rFonts w:hint="eastAsia" w:ascii="宋体" w:hAnsi="宋体" w:eastAsia="宋体" w:cs="宋体"/>
                <w:sz w:val="19"/>
                <w:szCs w:val="19"/>
              </w:rPr>
            </w:pPr>
            <w:r>
              <w:rPr>
                <w:rFonts w:hint="eastAsia" w:ascii="宋体" w:hAnsi="宋体" w:eastAsia="宋体" w:cs="宋体"/>
                <w:spacing w:val="-1"/>
                <w:sz w:val="19"/>
                <w:szCs w:val="19"/>
              </w:rPr>
              <w:t>轿门开门限制装置工作正常</w:t>
            </w:r>
          </w:p>
        </w:tc>
      </w:tr>
      <w:tr w14:paraId="4F2DC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575" w:type="dxa"/>
            <w:vAlign w:val="top"/>
          </w:tcPr>
          <w:p w14:paraId="4E0FE32C">
            <w:pPr>
              <w:pStyle w:val="20"/>
              <w:spacing w:before="193" w:line="191" w:lineRule="auto"/>
              <w:ind w:left="185"/>
              <w:rPr>
                <w:rFonts w:hint="eastAsia" w:ascii="宋体" w:hAnsi="宋体" w:eastAsia="宋体" w:cs="宋体"/>
                <w:sz w:val="19"/>
                <w:szCs w:val="19"/>
              </w:rPr>
            </w:pPr>
            <w:r>
              <w:rPr>
                <w:rFonts w:hint="eastAsia" w:ascii="宋体" w:hAnsi="宋体" w:eastAsia="宋体" w:cs="宋体"/>
                <w:spacing w:val="-6"/>
                <w:sz w:val="19"/>
                <w:szCs w:val="19"/>
              </w:rPr>
              <w:t>17</w:t>
            </w:r>
          </w:p>
        </w:tc>
        <w:tc>
          <w:tcPr>
            <w:tcW w:w="3766" w:type="dxa"/>
            <w:vAlign w:val="top"/>
          </w:tcPr>
          <w:p w14:paraId="0D1A0B8D">
            <w:pPr>
              <w:pStyle w:val="20"/>
              <w:spacing w:before="115" w:line="219" w:lineRule="auto"/>
              <w:ind w:left="100"/>
              <w:rPr>
                <w:rFonts w:hint="eastAsia" w:ascii="宋体" w:hAnsi="宋体" w:eastAsia="宋体" w:cs="宋体"/>
                <w:sz w:val="19"/>
                <w:szCs w:val="19"/>
              </w:rPr>
            </w:pPr>
            <w:r>
              <w:rPr>
                <w:rFonts w:hint="eastAsia" w:ascii="宋体" w:hAnsi="宋体" w:eastAsia="宋体" w:cs="宋体"/>
                <w:spacing w:val="-1"/>
                <w:sz w:val="19"/>
                <w:szCs w:val="19"/>
              </w:rPr>
              <w:t>轿厢检修开关、停止装置工作正常</w:t>
            </w:r>
          </w:p>
        </w:tc>
        <w:tc>
          <w:tcPr>
            <w:tcW w:w="510" w:type="dxa"/>
            <w:vAlign w:val="top"/>
          </w:tcPr>
          <w:p w14:paraId="753B586B">
            <w:pPr>
              <w:pStyle w:val="20"/>
              <w:spacing w:before="193" w:line="191" w:lineRule="auto"/>
              <w:ind w:left="155"/>
              <w:rPr>
                <w:rFonts w:hint="eastAsia" w:ascii="宋体" w:hAnsi="宋体" w:eastAsia="宋体" w:cs="宋体"/>
                <w:sz w:val="19"/>
                <w:szCs w:val="19"/>
              </w:rPr>
            </w:pPr>
            <w:r>
              <w:rPr>
                <w:rFonts w:hint="eastAsia" w:ascii="宋体" w:hAnsi="宋体" w:eastAsia="宋体" w:cs="宋体"/>
                <w:spacing w:val="-3"/>
                <w:sz w:val="19"/>
                <w:szCs w:val="19"/>
              </w:rPr>
              <w:t>57</w:t>
            </w:r>
          </w:p>
        </w:tc>
        <w:tc>
          <w:tcPr>
            <w:tcW w:w="4106" w:type="dxa"/>
            <w:vAlign w:val="top"/>
          </w:tcPr>
          <w:p w14:paraId="5A36A480">
            <w:pPr>
              <w:pStyle w:val="20"/>
              <w:spacing w:before="115" w:line="219" w:lineRule="auto"/>
              <w:ind w:left="95"/>
              <w:rPr>
                <w:rFonts w:hint="eastAsia" w:ascii="宋体" w:hAnsi="宋体" w:eastAsia="宋体" w:cs="宋体"/>
                <w:sz w:val="19"/>
                <w:szCs w:val="19"/>
              </w:rPr>
            </w:pPr>
            <w:r>
              <w:rPr>
                <w:rFonts w:hint="eastAsia" w:ascii="宋体" w:hAnsi="宋体" w:eastAsia="宋体" w:cs="宋体"/>
                <w:spacing w:val="-1"/>
                <w:sz w:val="19"/>
                <w:szCs w:val="19"/>
              </w:rPr>
              <w:t>对重缓冲距离符合标准值</w:t>
            </w:r>
          </w:p>
        </w:tc>
      </w:tr>
      <w:tr w14:paraId="1E1B2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75" w:type="dxa"/>
            <w:vAlign w:val="top"/>
          </w:tcPr>
          <w:p w14:paraId="679BFC6C">
            <w:pPr>
              <w:pStyle w:val="20"/>
              <w:spacing w:before="203" w:line="212" w:lineRule="auto"/>
              <w:ind w:left="185"/>
              <w:rPr>
                <w:rFonts w:hint="eastAsia" w:ascii="宋体" w:hAnsi="宋体" w:eastAsia="宋体" w:cs="宋体"/>
                <w:sz w:val="19"/>
                <w:szCs w:val="19"/>
              </w:rPr>
            </w:pPr>
            <w:r>
              <w:rPr>
                <w:rFonts w:hint="eastAsia" w:ascii="宋体" w:hAnsi="宋体" w:eastAsia="宋体" w:cs="宋体"/>
                <w:spacing w:val="-6"/>
                <w:sz w:val="19"/>
                <w:szCs w:val="19"/>
              </w:rPr>
              <w:t>18</w:t>
            </w:r>
          </w:p>
        </w:tc>
        <w:tc>
          <w:tcPr>
            <w:tcW w:w="3766" w:type="dxa"/>
            <w:vAlign w:val="top"/>
          </w:tcPr>
          <w:p w14:paraId="48B90846">
            <w:pPr>
              <w:pStyle w:val="20"/>
              <w:spacing w:before="125" w:line="219" w:lineRule="auto"/>
              <w:ind w:left="100"/>
              <w:rPr>
                <w:rFonts w:hint="eastAsia" w:ascii="宋体" w:hAnsi="宋体" w:eastAsia="宋体" w:cs="宋体"/>
                <w:sz w:val="19"/>
                <w:szCs w:val="19"/>
              </w:rPr>
            </w:pPr>
            <w:r>
              <w:rPr>
                <w:rFonts w:hint="eastAsia" w:ascii="宋体" w:hAnsi="宋体" w:eastAsia="宋体" w:cs="宋体"/>
                <w:spacing w:val="-1"/>
                <w:sz w:val="19"/>
                <w:szCs w:val="19"/>
              </w:rPr>
              <w:t>轿内报警装置、对讲系统工作正常</w:t>
            </w:r>
          </w:p>
        </w:tc>
        <w:tc>
          <w:tcPr>
            <w:tcW w:w="510" w:type="dxa"/>
            <w:vAlign w:val="top"/>
          </w:tcPr>
          <w:p w14:paraId="6CD6EB9C">
            <w:pPr>
              <w:pStyle w:val="20"/>
              <w:spacing w:before="223" w:line="191" w:lineRule="auto"/>
              <w:ind w:left="155"/>
              <w:rPr>
                <w:rFonts w:hint="eastAsia" w:ascii="宋体" w:hAnsi="宋体" w:eastAsia="宋体" w:cs="宋体"/>
                <w:sz w:val="19"/>
                <w:szCs w:val="19"/>
              </w:rPr>
            </w:pPr>
            <w:r>
              <w:rPr>
                <w:rFonts w:hint="eastAsia" w:ascii="宋体" w:hAnsi="宋体" w:eastAsia="宋体" w:cs="宋体"/>
                <w:spacing w:val="-3"/>
                <w:sz w:val="19"/>
                <w:szCs w:val="19"/>
              </w:rPr>
              <w:t>58</w:t>
            </w:r>
          </w:p>
        </w:tc>
        <w:tc>
          <w:tcPr>
            <w:tcW w:w="4106" w:type="dxa"/>
            <w:vAlign w:val="top"/>
          </w:tcPr>
          <w:p w14:paraId="5180803E">
            <w:pPr>
              <w:pStyle w:val="20"/>
              <w:spacing w:before="155" w:line="219" w:lineRule="auto"/>
              <w:ind w:left="95"/>
              <w:rPr>
                <w:rFonts w:hint="eastAsia" w:ascii="宋体" w:hAnsi="宋体" w:eastAsia="宋体" w:cs="宋体"/>
                <w:sz w:val="19"/>
                <w:szCs w:val="19"/>
              </w:rPr>
            </w:pPr>
            <w:r>
              <w:rPr>
                <w:rFonts w:hint="eastAsia" w:ascii="宋体" w:hAnsi="宋体" w:eastAsia="宋体" w:cs="宋体"/>
                <w:spacing w:val="-1"/>
                <w:sz w:val="19"/>
                <w:szCs w:val="19"/>
              </w:rPr>
              <w:t>补偿链(绳)与轿厢、对重结合处固定，无松动</w:t>
            </w:r>
          </w:p>
        </w:tc>
      </w:tr>
      <w:tr w14:paraId="2E682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575" w:type="dxa"/>
            <w:vAlign w:val="top"/>
          </w:tcPr>
          <w:p w14:paraId="7EE9D73A">
            <w:pPr>
              <w:pStyle w:val="20"/>
              <w:spacing w:before="133"/>
              <w:ind w:left="185"/>
              <w:rPr>
                <w:rFonts w:hint="eastAsia" w:ascii="宋体" w:hAnsi="宋体" w:eastAsia="宋体" w:cs="宋体"/>
                <w:sz w:val="19"/>
                <w:szCs w:val="19"/>
              </w:rPr>
            </w:pPr>
            <w:r>
              <w:rPr>
                <w:rFonts w:hint="eastAsia" w:ascii="宋体" w:hAnsi="宋体" w:eastAsia="宋体" w:cs="宋体"/>
                <w:spacing w:val="-6"/>
                <w:sz w:val="19"/>
                <w:szCs w:val="19"/>
              </w:rPr>
              <w:t>19</w:t>
            </w:r>
          </w:p>
        </w:tc>
        <w:tc>
          <w:tcPr>
            <w:tcW w:w="3766" w:type="dxa"/>
            <w:vAlign w:val="top"/>
          </w:tcPr>
          <w:p w14:paraId="63B675A7">
            <w:pPr>
              <w:pStyle w:val="20"/>
              <w:spacing w:before="114" w:line="219" w:lineRule="auto"/>
              <w:ind w:left="100"/>
              <w:rPr>
                <w:rFonts w:hint="eastAsia" w:ascii="宋体" w:hAnsi="宋体" w:eastAsia="宋体" w:cs="宋体"/>
                <w:sz w:val="19"/>
                <w:szCs w:val="19"/>
              </w:rPr>
            </w:pPr>
            <w:r>
              <w:rPr>
                <w:rFonts w:hint="eastAsia" w:ascii="宋体" w:hAnsi="宋体" w:eastAsia="宋体" w:cs="宋体"/>
                <w:spacing w:val="-1"/>
                <w:sz w:val="19"/>
                <w:szCs w:val="19"/>
              </w:rPr>
              <w:t>轿内显示、指令按钮、Ic卡系统齐全，有效</w:t>
            </w:r>
          </w:p>
        </w:tc>
        <w:tc>
          <w:tcPr>
            <w:tcW w:w="510" w:type="dxa"/>
            <w:vAlign w:val="top"/>
          </w:tcPr>
          <w:p w14:paraId="6B615C99">
            <w:pPr>
              <w:pStyle w:val="20"/>
              <w:spacing w:before="203" w:line="181" w:lineRule="auto"/>
              <w:ind w:left="155"/>
              <w:rPr>
                <w:rFonts w:hint="eastAsia" w:ascii="宋体" w:hAnsi="宋体" w:eastAsia="宋体" w:cs="宋体"/>
                <w:sz w:val="19"/>
                <w:szCs w:val="19"/>
              </w:rPr>
            </w:pPr>
            <w:r>
              <w:rPr>
                <w:rFonts w:hint="eastAsia" w:ascii="宋体" w:hAnsi="宋体" w:eastAsia="宋体" w:cs="宋体"/>
                <w:spacing w:val="-3"/>
                <w:sz w:val="19"/>
                <w:szCs w:val="19"/>
              </w:rPr>
              <w:t>59</w:t>
            </w:r>
          </w:p>
        </w:tc>
        <w:tc>
          <w:tcPr>
            <w:tcW w:w="4106" w:type="dxa"/>
            <w:vAlign w:val="top"/>
          </w:tcPr>
          <w:p w14:paraId="602C831E">
            <w:pPr>
              <w:pStyle w:val="20"/>
              <w:spacing w:before="116" w:line="220" w:lineRule="auto"/>
              <w:ind w:left="95"/>
              <w:rPr>
                <w:rFonts w:hint="eastAsia" w:ascii="宋体" w:hAnsi="宋体" w:eastAsia="宋体" w:cs="宋体"/>
                <w:sz w:val="19"/>
                <w:szCs w:val="19"/>
              </w:rPr>
            </w:pPr>
            <w:r>
              <w:rPr>
                <w:rFonts w:hint="eastAsia" w:ascii="宋体" w:hAnsi="宋体" w:eastAsia="宋体" w:cs="宋体"/>
                <w:spacing w:val="-1"/>
                <w:sz w:val="19"/>
                <w:szCs w:val="19"/>
              </w:rPr>
              <w:t>上、下极限开关工作正常</w:t>
            </w:r>
          </w:p>
        </w:tc>
      </w:tr>
      <w:tr w14:paraId="4F382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575" w:type="dxa"/>
            <w:vAlign w:val="top"/>
          </w:tcPr>
          <w:p w14:paraId="2895F47A">
            <w:pPr>
              <w:pStyle w:val="20"/>
              <w:spacing w:before="262"/>
              <w:ind w:left="185"/>
              <w:rPr>
                <w:rFonts w:hint="eastAsia" w:ascii="宋体" w:hAnsi="宋体" w:eastAsia="宋体" w:cs="宋体"/>
                <w:sz w:val="19"/>
                <w:szCs w:val="19"/>
              </w:rPr>
            </w:pPr>
            <w:r>
              <w:rPr>
                <w:rFonts w:hint="eastAsia" w:ascii="宋体" w:hAnsi="宋体" w:eastAsia="宋体" w:cs="宋体"/>
                <w:spacing w:val="-3"/>
                <w:sz w:val="19"/>
                <w:szCs w:val="19"/>
              </w:rPr>
              <w:t>20</w:t>
            </w:r>
          </w:p>
        </w:tc>
        <w:tc>
          <w:tcPr>
            <w:tcW w:w="3766" w:type="dxa"/>
            <w:vAlign w:val="top"/>
          </w:tcPr>
          <w:p w14:paraId="4D713741">
            <w:pPr>
              <w:pStyle w:val="20"/>
              <w:spacing w:before="114" w:line="274" w:lineRule="auto"/>
              <w:ind w:left="100" w:firstLine="19"/>
              <w:rPr>
                <w:rFonts w:hint="eastAsia" w:ascii="宋体" w:hAnsi="宋体" w:eastAsia="宋体" w:cs="宋体"/>
                <w:sz w:val="19"/>
                <w:szCs w:val="19"/>
              </w:rPr>
            </w:pPr>
            <w:r>
              <w:rPr>
                <w:rFonts w:hint="eastAsia" w:ascii="宋体" w:hAnsi="宋体" w:eastAsia="宋体" w:cs="宋体"/>
                <w:spacing w:val="-15"/>
                <w:sz w:val="19"/>
                <w:szCs w:val="19"/>
              </w:rPr>
              <w:t>轿门防</w:t>
            </w:r>
            <w:r>
              <w:rPr>
                <w:rFonts w:hint="eastAsia" w:ascii="宋体" w:hAnsi="宋体" w:eastAsia="宋体" w:cs="宋体"/>
                <w:spacing w:val="-14"/>
                <w:sz w:val="19"/>
                <w:szCs w:val="19"/>
              </w:rPr>
              <w:t>撞击保护装置，   (安全触板、光幕、光</w:t>
            </w:r>
            <w:r>
              <w:rPr>
                <w:rFonts w:hint="eastAsia" w:ascii="宋体" w:hAnsi="宋体" w:eastAsia="宋体" w:cs="宋体"/>
                <w:spacing w:val="-11"/>
                <w:sz w:val="19"/>
                <w:szCs w:val="19"/>
              </w:rPr>
              <w:t>电</w:t>
            </w:r>
            <w:r>
              <w:rPr>
                <w:rFonts w:hint="eastAsia" w:ascii="宋体" w:hAnsi="宋体" w:eastAsia="宋体" w:cs="宋体"/>
                <w:spacing w:val="10"/>
                <w:sz w:val="19"/>
                <w:szCs w:val="19"/>
              </w:rPr>
              <w:t xml:space="preserve"> </w:t>
            </w:r>
            <w:r>
              <w:rPr>
                <w:rFonts w:hint="eastAsia" w:ascii="宋体" w:hAnsi="宋体" w:eastAsia="宋体" w:cs="宋体"/>
                <w:spacing w:val="-2"/>
                <w:sz w:val="19"/>
                <w:szCs w:val="19"/>
              </w:rPr>
              <w:t>等)功能有效</w:t>
            </w:r>
          </w:p>
        </w:tc>
        <w:tc>
          <w:tcPr>
            <w:tcW w:w="510" w:type="dxa"/>
            <w:vAlign w:val="top"/>
          </w:tcPr>
          <w:p w14:paraId="5A6320F6">
            <w:pPr>
              <w:pStyle w:val="20"/>
              <w:spacing w:before="262"/>
              <w:ind w:left="85"/>
              <w:rPr>
                <w:rFonts w:hint="eastAsia" w:ascii="宋体" w:hAnsi="宋体" w:eastAsia="宋体" w:cs="宋体"/>
                <w:sz w:val="19"/>
                <w:szCs w:val="19"/>
              </w:rPr>
            </w:pPr>
            <w:r>
              <w:rPr>
                <w:rFonts w:hint="eastAsia" w:ascii="宋体" w:hAnsi="宋体" w:eastAsia="宋体" w:cs="宋体"/>
                <w:spacing w:val="-3"/>
                <w:sz w:val="19"/>
                <w:szCs w:val="19"/>
              </w:rPr>
              <w:t>60</w:t>
            </w:r>
          </w:p>
        </w:tc>
        <w:tc>
          <w:tcPr>
            <w:tcW w:w="4106" w:type="dxa"/>
            <w:vAlign w:val="top"/>
          </w:tcPr>
          <w:p w14:paraId="4FFB8F91">
            <w:pPr>
              <w:pStyle w:val="20"/>
              <w:spacing w:before="104" w:line="279" w:lineRule="auto"/>
              <w:ind w:left="95" w:right="12" w:firstLine="10"/>
              <w:rPr>
                <w:rFonts w:hint="eastAsia" w:ascii="宋体" w:hAnsi="宋体" w:eastAsia="宋体" w:cs="宋体"/>
                <w:sz w:val="19"/>
                <w:szCs w:val="19"/>
              </w:rPr>
            </w:pPr>
            <w:r>
              <w:rPr>
                <w:rFonts w:hint="eastAsia" w:ascii="宋体" w:hAnsi="宋体" w:eastAsia="宋体" w:cs="宋体"/>
                <w:sz w:val="19"/>
                <w:szCs w:val="19"/>
              </w:rPr>
              <w:t>减速机润滑油按照制造单位要求适时更换。保证油</w:t>
            </w:r>
            <w:r>
              <w:rPr>
                <w:rFonts w:hint="eastAsia" w:ascii="宋体" w:hAnsi="宋体" w:eastAsia="宋体" w:cs="宋体"/>
                <w:spacing w:val="17"/>
                <w:sz w:val="19"/>
                <w:szCs w:val="19"/>
              </w:rPr>
              <w:t xml:space="preserve"> </w:t>
            </w:r>
            <w:r>
              <w:rPr>
                <w:rFonts w:hint="eastAsia" w:ascii="宋体" w:hAnsi="宋体" w:eastAsia="宋体" w:cs="宋体"/>
                <w:spacing w:val="-2"/>
                <w:sz w:val="19"/>
                <w:szCs w:val="19"/>
              </w:rPr>
              <w:t>质符合要求</w:t>
            </w:r>
          </w:p>
        </w:tc>
      </w:tr>
      <w:tr w14:paraId="3380C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575" w:type="dxa"/>
            <w:vAlign w:val="top"/>
          </w:tcPr>
          <w:p w14:paraId="08136C0E">
            <w:pPr>
              <w:pStyle w:val="20"/>
              <w:spacing w:before="264" w:line="241" w:lineRule="auto"/>
              <w:ind w:left="185"/>
              <w:rPr>
                <w:rFonts w:hint="eastAsia" w:ascii="宋体" w:hAnsi="宋体" w:eastAsia="宋体" w:cs="宋体"/>
                <w:sz w:val="19"/>
                <w:szCs w:val="19"/>
              </w:rPr>
            </w:pPr>
            <w:r>
              <w:rPr>
                <w:rFonts w:hint="eastAsia" w:ascii="宋体" w:hAnsi="宋体" w:eastAsia="宋体" w:cs="宋体"/>
                <w:spacing w:val="-3"/>
                <w:sz w:val="19"/>
                <w:szCs w:val="19"/>
              </w:rPr>
              <w:t>21</w:t>
            </w:r>
          </w:p>
        </w:tc>
        <w:tc>
          <w:tcPr>
            <w:tcW w:w="3766" w:type="dxa"/>
            <w:vAlign w:val="top"/>
          </w:tcPr>
          <w:p w14:paraId="61EB8866">
            <w:pPr>
              <w:pStyle w:val="20"/>
              <w:spacing w:before="97" w:line="283" w:lineRule="auto"/>
              <w:ind w:left="100" w:firstLine="9"/>
              <w:rPr>
                <w:rFonts w:hint="eastAsia" w:ascii="宋体" w:hAnsi="宋体" w:eastAsia="宋体" w:cs="宋体"/>
                <w:sz w:val="19"/>
                <w:szCs w:val="19"/>
              </w:rPr>
            </w:pPr>
            <w:r>
              <w:rPr>
                <w:rFonts w:hint="eastAsia" w:ascii="宋体" w:hAnsi="宋体" w:eastAsia="宋体" w:cs="宋体"/>
                <w:spacing w:val="-7"/>
                <w:sz w:val="19"/>
                <w:szCs w:val="19"/>
              </w:rPr>
              <w:t>轿门门锁电气触点清洁，触点接触良好，接线可</w:t>
            </w:r>
            <w:r>
              <w:rPr>
                <w:rFonts w:hint="eastAsia" w:ascii="宋体" w:hAnsi="宋体" w:eastAsia="宋体" w:cs="宋体"/>
                <w:spacing w:val="11"/>
                <w:sz w:val="19"/>
                <w:szCs w:val="19"/>
              </w:rPr>
              <w:t xml:space="preserve"> </w:t>
            </w:r>
            <w:r>
              <w:rPr>
                <w:rFonts w:hint="eastAsia" w:ascii="宋体" w:hAnsi="宋体" w:eastAsia="宋体" w:cs="宋体"/>
                <w:sz w:val="19"/>
                <w:szCs w:val="19"/>
              </w:rPr>
              <w:t>靠</w:t>
            </w:r>
          </w:p>
        </w:tc>
        <w:tc>
          <w:tcPr>
            <w:tcW w:w="510" w:type="dxa"/>
            <w:vAlign w:val="top"/>
          </w:tcPr>
          <w:p w14:paraId="65D432E6">
            <w:pPr>
              <w:pStyle w:val="20"/>
              <w:spacing w:before="263"/>
              <w:ind w:left="95"/>
              <w:rPr>
                <w:rFonts w:hint="eastAsia" w:ascii="宋体" w:hAnsi="宋体" w:eastAsia="宋体" w:cs="宋体"/>
                <w:sz w:val="19"/>
                <w:szCs w:val="19"/>
              </w:rPr>
            </w:pPr>
            <w:r>
              <w:rPr>
                <w:rFonts w:hint="eastAsia" w:ascii="宋体" w:hAnsi="宋体" w:eastAsia="宋体" w:cs="宋体"/>
                <w:spacing w:val="-3"/>
                <w:sz w:val="19"/>
                <w:szCs w:val="19"/>
              </w:rPr>
              <w:t>61</w:t>
            </w:r>
          </w:p>
        </w:tc>
        <w:tc>
          <w:tcPr>
            <w:tcW w:w="4106" w:type="dxa"/>
            <w:vAlign w:val="top"/>
          </w:tcPr>
          <w:p w14:paraId="149B6D3C">
            <w:pPr>
              <w:pStyle w:val="20"/>
              <w:spacing w:before="246" w:line="219" w:lineRule="auto"/>
              <w:ind w:left="95"/>
              <w:rPr>
                <w:rFonts w:hint="eastAsia" w:ascii="宋体" w:hAnsi="宋体" w:eastAsia="宋体" w:cs="宋体"/>
                <w:sz w:val="19"/>
                <w:szCs w:val="19"/>
              </w:rPr>
            </w:pPr>
            <w:r>
              <w:rPr>
                <w:rFonts w:hint="eastAsia" w:ascii="宋体" w:hAnsi="宋体" w:eastAsia="宋体" w:cs="宋体"/>
                <w:spacing w:val="-1"/>
                <w:sz w:val="19"/>
                <w:szCs w:val="19"/>
              </w:rPr>
              <w:t>控制柜接触器、继电器触点接触良好</w:t>
            </w:r>
          </w:p>
        </w:tc>
      </w:tr>
      <w:tr w14:paraId="6C2F4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575" w:type="dxa"/>
            <w:vAlign w:val="top"/>
          </w:tcPr>
          <w:p w14:paraId="581BDB8F">
            <w:pPr>
              <w:pStyle w:val="20"/>
              <w:spacing w:before="295" w:line="205" w:lineRule="auto"/>
              <w:ind w:left="185"/>
              <w:rPr>
                <w:rFonts w:hint="eastAsia" w:ascii="宋体" w:hAnsi="宋体" w:eastAsia="宋体" w:cs="宋体"/>
                <w:sz w:val="19"/>
                <w:szCs w:val="19"/>
              </w:rPr>
            </w:pPr>
            <w:r>
              <w:rPr>
                <w:rFonts w:hint="eastAsia" w:ascii="宋体" w:hAnsi="宋体" w:eastAsia="宋体" w:cs="宋体"/>
                <w:spacing w:val="-3"/>
                <w:sz w:val="19"/>
                <w:szCs w:val="19"/>
              </w:rPr>
              <w:t>22</w:t>
            </w:r>
          </w:p>
        </w:tc>
        <w:tc>
          <w:tcPr>
            <w:tcW w:w="3766" w:type="dxa"/>
            <w:vAlign w:val="top"/>
          </w:tcPr>
          <w:p w14:paraId="288BFF71">
            <w:pPr>
              <w:pStyle w:val="20"/>
              <w:spacing w:before="227" w:line="220" w:lineRule="auto"/>
              <w:ind w:left="100"/>
              <w:rPr>
                <w:rFonts w:hint="eastAsia" w:ascii="宋体" w:hAnsi="宋体" w:eastAsia="宋体" w:cs="宋体"/>
                <w:sz w:val="19"/>
                <w:szCs w:val="19"/>
              </w:rPr>
            </w:pPr>
            <w:r>
              <w:rPr>
                <w:rFonts w:hint="eastAsia" w:ascii="宋体" w:hAnsi="宋体" w:eastAsia="宋体" w:cs="宋体"/>
                <w:spacing w:val="-1"/>
                <w:sz w:val="19"/>
                <w:szCs w:val="19"/>
              </w:rPr>
              <w:t>轿门运行开启和关闭工作正常</w:t>
            </w:r>
          </w:p>
        </w:tc>
        <w:tc>
          <w:tcPr>
            <w:tcW w:w="510" w:type="dxa"/>
            <w:vAlign w:val="top"/>
          </w:tcPr>
          <w:p w14:paraId="55A9EBC8">
            <w:pPr>
              <w:spacing w:line="245" w:lineRule="auto"/>
              <w:rPr>
                <w:rFonts w:hint="eastAsia" w:ascii="宋体" w:hAnsi="宋体" w:eastAsia="宋体" w:cs="宋体"/>
                <w:sz w:val="19"/>
                <w:szCs w:val="19"/>
              </w:rPr>
            </w:pPr>
          </w:p>
          <w:p w14:paraId="2F7DE7E5">
            <w:pPr>
              <w:pStyle w:val="20"/>
              <w:spacing w:before="59" w:line="194" w:lineRule="auto"/>
              <w:ind w:left="155"/>
              <w:rPr>
                <w:rFonts w:hint="eastAsia" w:ascii="宋体" w:hAnsi="宋体" w:eastAsia="宋体" w:cs="宋体"/>
                <w:sz w:val="19"/>
                <w:szCs w:val="19"/>
              </w:rPr>
            </w:pPr>
            <w:r>
              <w:rPr>
                <w:rFonts w:hint="eastAsia" w:ascii="宋体" w:hAnsi="宋体" w:eastAsia="宋体" w:cs="宋体"/>
                <w:spacing w:val="-3"/>
                <w:sz w:val="19"/>
                <w:szCs w:val="19"/>
              </w:rPr>
              <w:t>62</w:t>
            </w:r>
          </w:p>
        </w:tc>
        <w:tc>
          <w:tcPr>
            <w:tcW w:w="4106" w:type="dxa"/>
            <w:vAlign w:val="top"/>
          </w:tcPr>
          <w:p w14:paraId="5562A61A">
            <w:pPr>
              <w:pStyle w:val="20"/>
              <w:spacing w:before="167" w:line="219" w:lineRule="auto"/>
              <w:ind w:left="95"/>
              <w:rPr>
                <w:rFonts w:hint="eastAsia" w:ascii="宋体" w:hAnsi="宋体" w:eastAsia="宋体" w:cs="宋体"/>
                <w:sz w:val="19"/>
                <w:szCs w:val="19"/>
              </w:rPr>
            </w:pPr>
            <w:r>
              <w:rPr>
                <w:rFonts w:hint="eastAsia" w:ascii="宋体" w:hAnsi="宋体" w:eastAsia="宋体" w:cs="宋体"/>
                <w:spacing w:val="-1"/>
                <w:sz w:val="19"/>
                <w:szCs w:val="19"/>
              </w:rPr>
              <w:t>制动器铁芯(柱塞)进行清洁，润滑，检查，磨损量不超过制造单位要求</w:t>
            </w:r>
          </w:p>
        </w:tc>
      </w:tr>
    </w:tbl>
    <w:tbl>
      <w:tblPr>
        <w:tblStyle w:val="21"/>
        <w:tblpPr w:leftFromText="180" w:rightFromText="180" w:vertAnchor="text" w:horzAnchor="page" w:tblpX="1556" w:tblpY="53"/>
        <w:tblOverlap w:val="never"/>
        <w:tblW w:w="90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4"/>
        <w:gridCol w:w="3764"/>
        <w:gridCol w:w="491"/>
        <w:gridCol w:w="4159"/>
      </w:tblGrid>
      <w:tr w14:paraId="0B236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624" w:type="dxa"/>
            <w:vAlign w:val="top"/>
          </w:tcPr>
          <w:p w14:paraId="19457967">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23</w:t>
            </w:r>
          </w:p>
        </w:tc>
        <w:tc>
          <w:tcPr>
            <w:tcW w:w="3764" w:type="dxa"/>
            <w:vAlign w:val="top"/>
          </w:tcPr>
          <w:p w14:paraId="019DCE63">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轿厢平层准确度符合标准值</w:t>
            </w:r>
          </w:p>
        </w:tc>
        <w:tc>
          <w:tcPr>
            <w:tcW w:w="491" w:type="dxa"/>
            <w:vMerge w:val="restart"/>
            <w:tcBorders>
              <w:bottom w:val="nil"/>
            </w:tcBorders>
            <w:vAlign w:val="top"/>
          </w:tcPr>
          <w:p w14:paraId="5EA79812">
            <w:pPr>
              <w:pStyle w:val="20"/>
              <w:spacing w:before="295" w:line="205" w:lineRule="auto"/>
              <w:ind w:left="185"/>
              <w:rPr>
                <w:rFonts w:hint="eastAsia" w:ascii="宋体" w:hAnsi="宋体" w:eastAsia="宋体" w:cs="宋体"/>
                <w:spacing w:val="-3"/>
                <w:sz w:val="19"/>
                <w:szCs w:val="19"/>
              </w:rPr>
            </w:pPr>
          </w:p>
          <w:p w14:paraId="46F7BF96">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63</w:t>
            </w:r>
          </w:p>
        </w:tc>
        <w:tc>
          <w:tcPr>
            <w:tcW w:w="4159" w:type="dxa"/>
            <w:vMerge w:val="restart"/>
            <w:tcBorders>
              <w:bottom w:val="nil"/>
            </w:tcBorders>
            <w:vAlign w:val="top"/>
          </w:tcPr>
          <w:p w14:paraId="6FDA8653">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制动器制动能力符合制造要求，保持足够的制动 力，必要时进行轿厢装载125%额定载重量的制动 试验</w:t>
            </w:r>
          </w:p>
        </w:tc>
      </w:tr>
      <w:tr w14:paraId="1F4BA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24" w:type="dxa"/>
            <w:vAlign w:val="top"/>
          </w:tcPr>
          <w:p w14:paraId="4674166F">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24</w:t>
            </w:r>
          </w:p>
        </w:tc>
        <w:tc>
          <w:tcPr>
            <w:tcW w:w="3764" w:type="dxa"/>
            <w:vAlign w:val="top"/>
          </w:tcPr>
          <w:p w14:paraId="2E2CE6B2">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层站召唤、层楼显示齐全，有效</w:t>
            </w:r>
          </w:p>
        </w:tc>
        <w:tc>
          <w:tcPr>
            <w:tcW w:w="491" w:type="dxa"/>
            <w:vMerge w:val="continue"/>
            <w:tcBorders>
              <w:top w:val="nil"/>
            </w:tcBorders>
            <w:vAlign w:val="top"/>
          </w:tcPr>
          <w:p w14:paraId="69D5E53F">
            <w:pPr>
              <w:pStyle w:val="20"/>
              <w:spacing w:before="295" w:line="205" w:lineRule="auto"/>
              <w:ind w:left="185"/>
              <w:rPr>
                <w:rFonts w:hint="eastAsia" w:ascii="宋体" w:hAnsi="宋体" w:eastAsia="宋体" w:cs="宋体"/>
                <w:spacing w:val="-3"/>
                <w:sz w:val="19"/>
                <w:szCs w:val="19"/>
              </w:rPr>
            </w:pPr>
          </w:p>
        </w:tc>
        <w:tc>
          <w:tcPr>
            <w:tcW w:w="4159" w:type="dxa"/>
            <w:vMerge w:val="continue"/>
            <w:tcBorders>
              <w:top w:val="nil"/>
            </w:tcBorders>
            <w:vAlign w:val="top"/>
          </w:tcPr>
          <w:p w14:paraId="4E4B7363">
            <w:pPr>
              <w:pStyle w:val="20"/>
              <w:spacing w:before="295" w:line="205" w:lineRule="auto"/>
              <w:ind w:left="185"/>
              <w:rPr>
                <w:rFonts w:hint="eastAsia" w:ascii="宋体" w:hAnsi="宋体" w:eastAsia="宋体" w:cs="宋体"/>
                <w:spacing w:val="-3"/>
                <w:sz w:val="19"/>
                <w:szCs w:val="19"/>
              </w:rPr>
            </w:pPr>
          </w:p>
        </w:tc>
      </w:tr>
      <w:tr w14:paraId="10785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24" w:type="dxa"/>
            <w:vAlign w:val="top"/>
          </w:tcPr>
          <w:p w14:paraId="4C81A27F">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25</w:t>
            </w:r>
          </w:p>
        </w:tc>
        <w:tc>
          <w:tcPr>
            <w:tcW w:w="3764" w:type="dxa"/>
            <w:vAlign w:val="top"/>
          </w:tcPr>
          <w:p w14:paraId="30B0B993">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层门地坎清洁</w:t>
            </w:r>
          </w:p>
        </w:tc>
        <w:tc>
          <w:tcPr>
            <w:tcW w:w="491" w:type="dxa"/>
            <w:vAlign w:val="top"/>
          </w:tcPr>
          <w:p w14:paraId="182E64C4">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64</w:t>
            </w:r>
          </w:p>
        </w:tc>
        <w:tc>
          <w:tcPr>
            <w:tcW w:w="4159" w:type="dxa"/>
            <w:vAlign w:val="top"/>
          </w:tcPr>
          <w:p w14:paraId="407852F3">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导电回路绝缘性能测试符合标准</w:t>
            </w:r>
          </w:p>
        </w:tc>
      </w:tr>
      <w:tr w14:paraId="64202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624" w:type="dxa"/>
            <w:vAlign w:val="top"/>
          </w:tcPr>
          <w:p w14:paraId="6A343AED">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26</w:t>
            </w:r>
          </w:p>
        </w:tc>
        <w:tc>
          <w:tcPr>
            <w:tcW w:w="3764" w:type="dxa"/>
            <w:vAlign w:val="top"/>
          </w:tcPr>
          <w:p w14:paraId="3D4D2F1B">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层门自动关门装置正常</w:t>
            </w:r>
          </w:p>
        </w:tc>
        <w:tc>
          <w:tcPr>
            <w:tcW w:w="491" w:type="dxa"/>
            <w:vMerge w:val="restart"/>
            <w:tcBorders>
              <w:bottom w:val="nil"/>
            </w:tcBorders>
            <w:vAlign w:val="top"/>
          </w:tcPr>
          <w:p w14:paraId="59744685">
            <w:pPr>
              <w:pStyle w:val="20"/>
              <w:spacing w:before="295" w:line="205" w:lineRule="auto"/>
              <w:ind w:left="185"/>
              <w:rPr>
                <w:rFonts w:hint="eastAsia" w:ascii="宋体" w:hAnsi="宋体" w:eastAsia="宋体" w:cs="宋体"/>
                <w:spacing w:val="-3"/>
                <w:sz w:val="19"/>
                <w:szCs w:val="19"/>
              </w:rPr>
            </w:pPr>
          </w:p>
          <w:p w14:paraId="6FC6FB50">
            <w:pPr>
              <w:pStyle w:val="20"/>
              <w:spacing w:before="295" w:line="205" w:lineRule="auto"/>
              <w:ind w:left="185"/>
              <w:rPr>
                <w:rFonts w:hint="eastAsia" w:ascii="宋体" w:hAnsi="宋体" w:eastAsia="宋体" w:cs="宋体"/>
                <w:spacing w:val="-3"/>
                <w:sz w:val="19"/>
                <w:szCs w:val="19"/>
              </w:rPr>
            </w:pPr>
          </w:p>
          <w:p w14:paraId="6FA40262">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65</w:t>
            </w:r>
          </w:p>
        </w:tc>
        <w:tc>
          <w:tcPr>
            <w:tcW w:w="4159" w:type="dxa"/>
            <w:vMerge w:val="restart"/>
            <w:tcBorders>
              <w:bottom w:val="nil"/>
            </w:tcBorders>
            <w:vAlign w:val="top"/>
          </w:tcPr>
          <w:p w14:paraId="4B6FAAB5">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限速器安全钳联动试验(对于使用年限不超过</w:t>
            </w:r>
          </w:p>
          <w:p w14:paraId="09DC54FB">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15年的限速器，每2年进行一次限速器动作速</w:t>
            </w:r>
          </w:p>
          <w:p w14:paraId="477C8FD2">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度校验；对于使用年限超过15年的限速器，每年 进行一次限速器动速度校验)工作正常</w:t>
            </w:r>
          </w:p>
        </w:tc>
      </w:tr>
      <w:tr w14:paraId="0CECF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624" w:type="dxa"/>
            <w:vMerge w:val="restart"/>
            <w:tcBorders>
              <w:bottom w:val="nil"/>
            </w:tcBorders>
            <w:vAlign w:val="top"/>
          </w:tcPr>
          <w:p w14:paraId="154ED1F9">
            <w:pPr>
              <w:pStyle w:val="20"/>
              <w:spacing w:before="295" w:line="205" w:lineRule="auto"/>
              <w:ind w:left="185"/>
              <w:rPr>
                <w:rFonts w:hint="eastAsia" w:ascii="宋体" w:hAnsi="宋体" w:eastAsia="宋体" w:cs="宋体"/>
                <w:spacing w:val="-3"/>
                <w:sz w:val="19"/>
                <w:szCs w:val="19"/>
              </w:rPr>
            </w:pPr>
          </w:p>
          <w:p w14:paraId="1126C475">
            <w:pPr>
              <w:pStyle w:val="20"/>
              <w:spacing w:before="295" w:line="205" w:lineRule="auto"/>
              <w:ind w:left="185"/>
              <w:rPr>
                <w:rFonts w:hint="eastAsia" w:ascii="宋体" w:hAnsi="宋体" w:eastAsia="宋体" w:cs="宋体"/>
                <w:spacing w:val="-3"/>
                <w:sz w:val="19"/>
                <w:szCs w:val="19"/>
              </w:rPr>
            </w:pPr>
          </w:p>
          <w:p w14:paraId="0E4B2079">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27</w:t>
            </w:r>
          </w:p>
        </w:tc>
        <w:tc>
          <w:tcPr>
            <w:tcW w:w="3764" w:type="dxa"/>
            <w:vMerge w:val="restart"/>
            <w:tcBorders>
              <w:bottom w:val="nil"/>
            </w:tcBorders>
            <w:vAlign w:val="top"/>
          </w:tcPr>
          <w:p w14:paraId="3DD3A8E2">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层门门锁自动复位用层门钥匙打开手动开 锁装置释放后，层门门锁能自动复位</w:t>
            </w:r>
          </w:p>
        </w:tc>
        <w:tc>
          <w:tcPr>
            <w:tcW w:w="491" w:type="dxa"/>
            <w:vMerge w:val="continue"/>
            <w:tcBorders>
              <w:top w:val="nil"/>
            </w:tcBorders>
            <w:vAlign w:val="top"/>
          </w:tcPr>
          <w:p w14:paraId="58AAD142">
            <w:pPr>
              <w:pStyle w:val="20"/>
              <w:spacing w:before="295" w:line="205" w:lineRule="auto"/>
              <w:ind w:left="185"/>
              <w:rPr>
                <w:rFonts w:hint="eastAsia" w:ascii="宋体" w:hAnsi="宋体" w:eastAsia="宋体" w:cs="宋体"/>
                <w:spacing w:val="-3"/>
                <w:sz w:val="19"/>
                <w:szCs w:val="19"/>
              </w:rPr>
            </w:pPr>
          </w:p>
        </w:tc>
        <w:tc>
          <w:tcPr>
            <w:tcW w:w="4159" w:type="dxa"/>
            <w:vMerge w:val="continue"/>
            <w:tcBorders>
              <w:top w:val="nil"/>
            </w:tcBorders>
            <w:vAlign w:val="top"/>
          </w:tcPr>
          <w:p w14:paraId="39DC6C01">
            <w:pPr>
              <w:pStyle w:val="20"/>
              <w:spacing w:before="295" w:line="205" w:lineRule="auto"/>
              <w:ind w:left="185"/>
              <w:rPr>
                <w:rFonts w:hint="eastAsia" w:ascii="宋体" w:hAnsi="宋体" w:eastAsia="宋体" w:cs="宋体"/>
                <w:spacing w:val="-3"/>
                <w:sz w:val="19"/>
                <w:szCs w:val="19"/>
              </w:rPr>
            </w:pPr>
          </w:p>
        </w:tc>
      </w:tr>
      <w:tr w14:paraId="04FFD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24" w:type="dxa"/>
            <w:vMerge w:val="continue"/>
            <w:tcBorders>
              <w:top w:val="nil"/>
            </w:tcBorders>
            <w:vAlign w:val="top"/>
          </w:tcPr>
          <w:p w14:paraId="4E437C7E">
            <w:pPr>
              <w:pStyle w:val="20"/>
              <w:spacing w:before="295" w:line="205" w:lineRule="auto"/>
              <w:ind w:left="185"/>
              <w:rPr>
                <w:rFonts w:hint="eastAsia" w:ascii="宋体" w:hAnsi="宋体" w:eastAsia="宋体" w:cs="宋体"/>
                <w:spacing w:val="-3"/>
                <w:sz w:val="19"/>
                <w:szCs w:val="19"/>
              </w:rPr>
            </w:pPr>
          </w:p>
        </w:tc>
        <w:tc>
          <w:tcPr>
            <w:tcW w:w="3764" w:type="dxa"/>
            <w:vMerge w:val="continue"/>
            <w:tcBorders>
              <w:top w:val="nil"/>
            </w:tcBorders>
            <w:vAlign w:val="top"/>
          </w:tcPr>
          <w:p w14:paraId="1A67A2E8">
            <w:pPr>
              <w:pStyle w:val="20"/>
              <w:spacing w:before="295" w:line="205" w:lineRule="auto"/>
              <w:ind w:left="185"/>
              <w:rPr>
                <w:rFonts w:hint="eastAsia" w:ascii="宋体" w:hAnsi="宋体" w:eastAsia="宋体" w:cs="宋体"/>
                <w:spacing w:val="-3"/>
                <w:sz w:val="19"/>
                <w:szCs w:val="19"/>
              </w:rPr>
            </w:pPr>
          </w:p>
        </w:tc>
        <w:tc>
          <w:tcPr>
            <w:tcW w:w="491" w:type="dxa"/>
            <w:vAlign w:val="top"/>
          </w:tcPr>
          <w:p w14:paraId="6C4C564A">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66</w:t>
            </w:r>
          </w:p>
        </w:tc>
        <w:tc>
          <w:tcPr>
            <w:tcW w:w="4159" w:type="dxa"/>
            <w:vAlign w:val="top"/>
          </w:tcPr>
          <w:p w14:paraId="14A1E45E">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上行超速保护装置动作试验工作正常</w:t>
            </w:r>
          </w:p>
        </w:tc>
      </w:tr>
      <w:tr w14:paraId="2438E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624" w:type="dxa"/>
            <w:vAlign w:val="top"/>
          </w:tcPr>
          <w:p w14:paraId="31919891">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28</w:t>
            </w:r>
          </w:p>
        </w:tc>
        <w:tc>
          <w:tcPr>
            <w:tcW w:w="3764" w:type="dxa"/>
            <w:vAlign w:val="top"/>
          </w:tcPr>
          <w:p w14:paraId="15AF8FA4">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层门门锁电气触点清洁，触点接触良好，接线可 靠</w:t>
            </w:r>
          </w:p>
        </w:tc>
        <w:tc>
          <w:tcPr>
            <w:tcW w:w="491" w:type="dxa"/>
            <w:vAlign w:val="top"/>
          </w:tcPr>
          <w:p w14:paraId="2112677E">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67</w:t>
            </w:r>
          </w:p>
        </w:tc>
        <w:tc>
          <w:tcPr>
            <w:tcW w:w="4159" w:type="dxa"/>
            <w:vAlign w:val="top"/>
          </w:tcPr>
          <w:p w14:paraId="78689F5F">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轿厢意外移动保护装置动作试验工作正常</w:t>
            </w:r>
          </w:p>
        </w:tc>
      </w:tr>
      <w:tr w14:paraId="742F9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24" w:type="dxa"/>
            <w:vAlign w:val="top"/>
          </w:tcPr>
          <w:p w14:paraId="729E2FFD">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29</w:t>
            </w:r>
          </w:p>
        </w:tc>
        <w:tc>
          <w:tcPr>
            <w:tcW w:w="3764" w:type="dxa"/>
            <w:vAlign w:val="top"/>
          </w:tcPr>
          <w:p w14:paraId="7E9355B5">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层门锁紧元件啮合长度不小于7mm</w:t>
            </w:r>
          </w:p>
        </w:tc>
        <w:tc>
          <w:tcPr>
            <w:tcW w:w="491" w:type="dxa"/>
            <w:vAlign w:val="top"/>
          </w:tcPr>
          <w:p w14:paraId="747A2363">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68</w:t>
            </w:r>
          </w:p>
        </w:tc>
        <w:tc>
          <w:tcPr>
            <w:tcW w:w="4159" w:type="dxa"/>
            <w:vAlign w:val="top"/>
          </w:tcPr>
          <w:p w14:paraId="2CF4A7A5">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轿顶，轿厢架，轿门及其附件安装螺栓紧固</w:t>
            </w:r>
          </w:p>
        </w:tc>
      </w:tr>
      <w:tr w14:paraId="44A18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24" w:type="dxa"/>
            <w:vAlign w:val="top"/>
          </w:tcPr>
          <w:p w14:paraId="33CE7791">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30</w:t>
            </w:r>
          </w:p>
        </w:tc>
        <w:tc>
          <w:tcPr>
            <w:tcW w:w="3764" w:type="dxa"/>
            <w:vAlign w:val="top"/>
          </w:tcPr>
          <w:p w14:paraId="1B0D828A">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底坑环境清洁，无渗水、积水，照明正常</w:t>
            </w:r>
          </w:p>
        </w:tc>
        <w:tc>
          <w:tcPr>
            <w:tcW w:w="491" w:type="dxa"/>
            <w:vAlign w:val="top"/>
          </w:tcPr>
          <w:p w14:paraId="7BCF2A23">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69</w:t>
            </w:r>
          </w:p>
        </w:tc>
        <w:tc>
          <w:tcPr>
            <w:tcW w:w="4159" w:type="dxa"/>
            <w:vAlign w:val="top"/>
          </w:tcPr>
          <w:p w14:paraId="726836F4">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轿厢和对重/平衡重的导轨支架固定，无松动</w:t>
            </w:r>
          </w:p>
        </w:tc>
      </w:tr>
      <w:tr w14:paraId="68984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24" w:type="dxa"/>
            <w:vAlign w:val="top"/>
          </w:tcPr>
          <w:p w14:paraId="325A887E">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31</w:t>
            </w:r>
          </w:p>
        </w:tc>
        <w:tc>
          <w:tcPr>
            <w:tcW w:w="3764" w:type="dxa"/>
            <w:vAlign w:val="top"/>
          </w:tcPr>
          <w:p w14:paraId="5409DBC7">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底坑停止装置工作正常</w:t>
            </w:r>
          </w:p>
        </w:tc>
        <w:tc>
          <w:tcPr>
            <w:tcW w:w="491" w:type="dxa"/>
            <w:vAlign w:val="top"/>
          </w:tcPr>
          <w:p w14:paraId="41C8B23A">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70</w:t>
            </w:r>
          </w:p>
        </w:tc>
        <w:tc>
          <w:tcPr>
            <w:tcW w:w="4159" w:type="dxa"/>
            <w:vAlign w:val="top"/>
          </w:tcPr>
          <w:p w14:paraId="67D17AE4">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轿厢和对重/平衡重的导轨清洁，压板牢固</w:t>
            </w:r>
          </w:p>
        </w:tc>
      </w:tr>
      <w:tr w14:paraId="50EC6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624" w:type="dxa"/>
            <w:vAlign w:val="top"/>
          </w:tcPr>
          <w:p w14:paraId="43B8E0C3">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32</w:t>
            </w:r>
          </w:p>
        </w:tc>
        <w:tc>
          <w:tcPr>
            <w:tcW w:w="3764" w:type="dxa"/>
            <w:vAlign w:val="top"/>
          </w:tcPr>
          <w:p w14:paraId="5A194452">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减速机润滑油，油量适宜，除蜗杆伸出端外均无 渗漏</w:t>
            </w:r>
          </w:p>
        </w:tc>
        <w:tc>
          <w:tcPr>
            <w:tcW w:w="491" w:type="dxa"/>
            <w:vAlign w:val="top"/>
          </w:tcPr>
          <w:p w14:paraId="6895ECD0">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71</w:t>
            </w:r>
          </w:p>
        </w:tc>
        <w:tc>
          <w:tcPr>
            <w:tcW w:w="4159" w:type="dxa"/>
            <w:vAlign w:val="top"/>
          </w:tcPr>
          <w:p w14:paraId="5727AAF5">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随行电缆无损伤</w:t>
            </w:r>
          </w:p>
        </w:tc>
      </w:tr>
      <w:tr w14:paraId="3C03C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624" w:type="dxa"/>
            <w:vAlign w:val="top"/>
          </w:tcPr>
          <w:p w14:paraId="28B2F54A">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27</w:t>
            </w:r>
          </w:p>
        </w:tc>
        <w:tc>
          <w:tcPr>
            <w:tcW w:w="3764" w:type="dxa"/>
            <w:vAlign w:val="top"/>
          </w:tcPr>
          <w:p w14:paraId="65FFC9B3">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层门门锁自动复位用层门钥匙打开手动开 锁装置释放后，层门门锁能自动复位</w:t>
            </w:r>
          </w:p>
        </w:tc>
        <w:tc>
          <w:tcPr>
            <w:tcW w:w="491" w:type="dxa"/>
            <w:vAlign w:val="top"/>
          </w:tcPr>
          <w:p w14:paraId="64195ADB">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72</w:t>
            </w:r>
          </w:p>
        </w:tc>
        <w:tc>
          <w:tcPr>
            <w:tcW w:w="4159" w:type="dxa"/>
            <w:vAlign w:val="top"/>
          </w:tcPr>
          <w:p w14:paraId="6E870927">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层门装置和地坎无影响正常使用的变形，各安装螺 栓紧固</w:t>
            </w:r>
          </w:p>
        </w:tc>
      </w:tr>
      <w:tr w14:paraId="32930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24" w:type="dxa"/>
            <w:vAlign w:val="top"/>
          </w:tcPr>
          <w:p w14:paraId="20059F68">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33</w:t>
            </w:r>
          </w:p>
        </w:tc>
        <w:tc>
          <w:tcPr>
            <w:tcW w:w="3764" w:type="dxa"/>
            <w:vAlign w:val="top"/>
          </w:tcPr>
          <w:p w14:paraId="633BD96E">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制动衬清洁，磨损量不超过制造单位要求</w:t>
            </w:r>
          </w:p>
        </w:tc>
        <w:tc>
          <w:tcPr>
            <w:tcW w:w="491" w:type="dxa"/>
            <w:vAlign w:val="top"/>
          </w:tcPr>
          <w:p w14:paraId="1EAFFE99">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73</w:t>
            </w:r>
          </w:p>
        </w:tc>
        <w:tc>
          <w:tcPr>
            <w:tcW w:w="4159" w:type="dxa"/>
            <w:vAlign w:val="top"/>
          </w:tcPr>
          <w:p w14:paraId="3710FA3B">
            <w:pPr>
              <w:pStyle w:val="20"/>
              <w:spacing w:before="295" w:line="205" w:lineRule="auto"/>
              <w:ind w:left="185"/>
              <w:rPr>
                <w:rFonts w:hint="eastAsia" w:ascii="宋体" w:hAnsi="宋体" w:eastAsia="宋体" w:cs="宋体"/>
                <w:spacing w:val="-3"/>
                <w:sz w:val="19"/>
                <w:szCs w:val="19"/>
              </w:rPr>
            </w:pPr>
            <w:r>
              <w:rPr>
                <w:rFonts w:hint="eastAsia" w:ascii="宋体" w:hAnsi="宋体" w:eastAsia="宋体" w:cs="宋体"/>
                <w:spacing w:val="-3"/>
                <w:sz w:val="19"/>
                <w:szCs w:val="19"/>
              </w:rPr>
              <w:t>轿厢称重装置准确有效</w:t>
            </w:r>
          </w:p>
        </w:tc>
      </w:tr>
      <w:tr w14:paraId="444D8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24" w:type="dxa"/>
            <w:vAlign w:val="top"/>
          </w:tcPr>
          <w:p w14:paraId="4FB76E03">
            <w:pPr>
              <w:pStyle w:val="20"/>
              <w:spacing w:before="124"/>
              <w:ind w:left="74"/>
              <w:jc w:val="center"/>
              <w:rPr>
                <w:rFonts w:hint="eastAsia" w:ascii="宋体" w:hAnsi="宋体" w:eastAsia="宋体" w:cs="宋体"/>
                <w:sz w:val="19"/>
                <w:szCs w:val="19"/>
              </w:rPr>
            </w:pPr>
            <w:r>
              <w:rPr>
                <w:rFonts w:hint="eastAsia" w:ascii="宋体" w:hAnsi="宋体" w:eastAsia="宋体" w:cs="宋体"/>
                <w:spacing w:val="-3"/>
                <w:sz w:val="19"/>
                <w:szCs w:val="19"/>
              </w:rPr>
              <w:t>34</w:t>
            </w:r>
          </w:p>
        </w:tc>
        <w:tc>
          <w:tcPr>
            <w:tcW w:w="3764" w:type="dxa"/>
            <w:vAlign w:val="top"/>
          </w:tcPr>
          <w:p w14:paraId="5E7EEE4C">
            <w:pPr>
              <w:pStyle w:val="20"/>
              <w:spacing w:before="105" w:line="219" w:lineRule="auto"/>
              <w:ind w:left="80"/>
              <w:rPr>
                <w:rFonts w:hint="eastAsia" w:ascii="宋体" w:hAnsi="宋体" w:eastAsia="宋体" w:cs="宋体"/>
                <w:sz w:val="19"/>
                <w:szCs w:val="19"/>
              </w:rPr>
            </w:pPr>
            <w:r>
              <w:rPr>
                <w:rFonts w:hint="eastAsia" w:ascii="宋体" w:hAnsi="宋体" w:eastAsia="宋体" w:cs="宋体"/>
                <w:spacing w:val="-2"/>
                <w:sz w:val="19"/>
                <w:szCs w:val="19"/>
              </w:rPr>
              <w:t>编码器工作正常</w:t>
            </w:r>
          </w:p>
        </w:tc>
        <w:tc>
          <w:tcPr>
            <w:tcW w:w="491" w:type="dxa"/>
            <w:vAlign w:val="top"/>
          </w:tcPr>
          <w:p w14:paraId="4C78FF7E">
            <w:pPr>
              <w:pStyle w:val="20"/>
              <w:spacing w:before="194" w:line="180" w:lineRule="auto"/>
              <w:ind w:left="155"/>
              <w:jc w:val="both"/>
              <w:rPr>
                <w:rFonts w:hint="eastAsia" w:ascii="宋体" w:hAnsi="宋体" w:eastAsia="宋体" w:cs="宋体"/>
                <w:sz w:val="19"/>
                <w:szCs w:val="19"/>
              </w:rPr>
            </w:pPr>
            <w:r>
              <w:rPr>
                <w:rFonts w:hint="eastAsia" w:ascii="宋体" w:hAnsi="宋体" w:eastAsia="宋体" w:cs="宋体"/>
                <w:spacing w:val="-3"/>
                <w:sz w:val="19"/>
                <w:szCs w:val="19"/>
              </w:rPr>
              <w:t>74</w:t>
            </w:r>
          </w:p>
        </w:tc>
        <w:tc>
          <w:tcPr>
            <w:tcW w:w="4159" w:type="dxa"/>
            <w:vAlign w:val="top"/>
          </w:tcPr>
          <w:p w14:paraId="5B789A12">
            <w:pPr>
              <w:pStyle w:val="20"/>
              <w:spacing w:before="105" w:line="219" w:lineRule="auto"/>
              <w:ind w:left="86"/>
              <w:rPr>
                <w:rFonts w:hint="eastAsia" w:ascii="宋体" w:hAnsi="宋体" w:eastAsia="宋体" w:cs="宋体"/>
                <w:sz w:val="19"/>
                <w:szCs w:val="19"/>
              </w:rPr>
            </w:pPr>
            <w:r>
              <w:rPr>
                <w:rFonts w:hint="eastAsia" w:ascii="宋体" w:hAnsi="宋体" w:eastAsia="宋体" w:cs="宋体"/>
                <w:spacing w:val="1"/>
                <w:sz w:val="19"/>
                <w:szCs w:val="19"/>
              </w:rPr>
              <w:t>安全钳钳座固定，无松动</w:t>
            </w:r>
          </w:p>
        </w:tc>
      </w:tr>
      <w:tr w14:paraId="333F3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24" w:type="dxa"/>
            <w:vAlign w:val="top"/>
          </w:tcPr>
          <w:p w14:paraId="2627C8F0">
            <w:pPr>
              <w:pStyle w:val="20"/>
              <w:spacing w:before="194" w:line="190" w:lineRule="auto"/>
              <w:ind w:left="95"/>
              <w:jc w:val="center"/>
              <w:rPr>
                <w:rFonts w:hint="eastAsia" w:ascii="宋体" w:hAnsi="宋体" w:eastAsia="宋体" w:cs="宋体"/>
                <w:sz w:val="19"/>
                <w:szCs w:val="19"/>
              </w:rPr>
            </w:pPr>
            <w:r>
              <w:rPr>
                <w:rFonts w:hint="eastAsia" w:ascii="宋体" w:hAnsi="宋体" w:eastAsia="宋体" w:cs="宋体"/>
                <w:spacing w:val="-3"/>
                <w:sz w:val="19"/>
                <w:szCs w:val="19"/>
              </w:rPr>
              <w:t>35</w:t>
            </w:r>
          </w:p>
        </w:tc>
        <w:tc>
          <w:tcPr>
            <w:tcW w:w="3764" w:type="dxa"/>
            <w:vAlign w:val="top"/>
          </w:tcPr>
          <w:p w14:paraId="15750A9E">
            <w:pPr>
              <w:pStyle w:val="20"/>
              <w:spacing w:before="114" w:line="219" w:lineRule="auto"/>
              <w:ind w:left="80"/>
              <w:rPr>
                <w:rFonts w:hint="eastAsia" w:ascii="宋体" w:hAnsi="宋体" w:eastAsia="宋体" w:cs="宋体"/>
                <w:sz w:val="19"/>
                <w:szCs w:val="19"/>
              </w:rPr>
            </w:pPr>
            <w:r>
              <w:rPr>
                <w:rFonts w:hint="eastAsia" w:ascii="宋体" w:hAnsi="宋体" w:eastAsia="宋体" w:cs="宋体"/>
                <w:spacing w:val="-1"/>
                <w:sz w:val="19"/>
                <w:szCs w:val="19"/>
              </w:rPr>
              <w:t>选层器动静触点清洁，无烧蚀</w:t>
            </w:r>
          </w:p>
        </w:tc>
        <w:tc>
          <w:tcPr>
            <w:tcW w:w="491" w:type="dxa"/>
            <w:vAlign w:val="top"/>
          </w:tcPr>
          <w:p w14:paraId="4E378523">
            <w:pPr>
              <w:pStyle w:val="20"/>
              <w:spacing w:before="185" w:line="199" w:lineRule="auto"/>
              <w:ind w:left="155"/>
              <w:jc w:val="both"/>
              <w:rPr>
                <w:rFonts w:hint="eastAsia" w:ascii="宋体" w:hAnsi="宋体" w:eastAsia="宋体" w:cs="宋体"/>
                <w:sz w:val="19"/>
                <w:szCs w:val="19"/>
              </w:rPr>
            </w:pPr>
            <w:r>
              <w:rPr>
                <w:rFonts w:hint="eastAsia" w:ascii="宋体" w:hAnsi="宋体" w:eastAsia="宋体" w:cs="宋体"/>
                <w:spacing w:val="-3"/>
                <w:sz w:val="19"/>
                <w:szCs w:val="19"/>
              </w:rPr>
              <w:t>75</w:t>
            </w:r>
          </w:p>
        </w:tc>
        <w:tc>
          <w:tcPr>
            <w:tcW w:w="4159" w:type="dxa"/>
            <w:vAlign w:val="top"/>
          </w:tcPr>
          <w:p w14:paraId="30B2178F">
            <w:pPr>
              <w:pStyle w:val="20"/>
              <w:spacing w:before="115" w:line="219" w:lineRule="auto"/>
              <w:ind w:left="86"/>
              <w:rPr>
                <w:rFonts w:hint="eastAsia" w:ascii="宋体" w:hAnsi="宋体" w:eastAsia="宋体" w:cs="宋体"/>
                <w:sz w:val="19"/>
                <w:szCs w:val="19"/>
              </w:rPr>
            </w:pPr>
            <w:r>
              <w:rPr>
                <w:rFonts w:hint="eastAsia" w:ascii="宋体" w:hAnsi="宋体" w:eastAsia="宋体" w:cs="宋体"/>
                <w:spacing w:val="2"/>
                <w:sz w:val="19"/>
                <w:szCs w:val="19"/>
              </w:rPr>
              <w:t>轿底各安装螺栓紧固</w:t>
            </w:r>
          </w:p>
        </w:tc>
      </w:tr>
      <w:tr w14:paraId="49402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624" w:type="dxa"/>
            <w:vAlign w:val="top"/>
          </w:tcPr>
          <w:p w14:paraId="40ED5ABD">
            <w:pPr>
              <w:pStyle w:val="20"/>
              <w:spacing w:before="264"/>
              <w:ind w:left="95"/>
              <w:jc w:val="center"/>
              <w:rPr>
                <w:rFonts w:hint="eastAsia" w:ascii="宋体" w:hAnsi="宋体" w:eastAsia="宋体" w:cs="宋体"/>
                <w:sz w:val="19"/>
                <w:szCs w:val="19"/>
              </w:rPr>
            </w:pPr>
            <w:r>
              <w:rPr>
                <w:rFonts w:hint="eastAsia" w:ascii="宋体" w:hAnsi="宋体" w:eastAsia="宋体" w:cs="宋体"/>
                <w:spacing w:val="-3"/>
                <w:sz w:val="19"/>
                <w:szCs w:val="19"/>
              </w:rPr>
              <w:t>36</w:t>
            </w:r>
          </w:p>
        </w:tc>
        <w:tc>
          <w:tcPr>
            <w:tcW w:w="3764" w:type="dxa"/>
            <w:vAlign w:val="top"/>
          </w:tcPr>
          <w:p w14:paraId="02D3CCDD">
            <w:pPr>
              <w:pStyle w:val="20"/>
              <w:spacing w:before="95" w:line="269" w:lineRule="auto"/>
              <w:ind w:left="80" w:firstLine="20"/>
              <w:rPr>
                <w:rFonts w:hint="eastAsia" w:ascii="宋体" w:hAnsi="宋体" w:eastAsia="宋体" w:cs="宋体"/>
                <w:sz w:val="19"/>
                <w:szCs w:val="19"/>
              </w:rPr>
            </w:pPr>
            <w:r>
              <w:rPr>
                <w:rFonts w:hint="eastAsia" w:ascii="宋体" w:hAnsi="宋体" w:eastAsia="宋体" w:cs="宋体"/>
                <w:spacing w:val="-1"/>
                <w:sz w:val="19"/>
                <w:szCs w:val="19"/>
              </w:rPr>
              <w:t>曳引轮槽、悬挂装置清洁，钢丝绳无严重油腻，张 力均匀，符合制造单位要求</w:t>
            </w:r>
          </w:p>
        </w:tc>
        <w:tc>
          <w:tcPr>
            <w:tcW w:w="491" w:type="dxa"/>
            <w:vAlign w:val="top"/>
          </w:tcPr>
          <w:p w14:paraId="12DE7CF2">
            <w:pPr>
              <w:pStyle w:val="20"/>
              <w:spacing w:before="264"/>
              <w:ind w:left="155"/>
              <w:jc w:val="both"/>
              <w:rPr>
                <w:rFonts w:hint="eastAsia" w:ascii="宋体" w:hAnsi="宋体" w:eastAsia="宋体" w:cs="宋体"/>
                <w:sz w:val="19"/>
                <w:szCs w:val="19"/>
              </w:rPr>
            </w:pPr>
            <w:r>
              <w:rPr>
                <w:rFonts w:hint="eastAsia" w:ascii="宋体" w:hAnsi="宋体" w:eastAsia="宋体" w:cs="宋体"/>
                <w:spacing w:val="-3"/>
                <w:sz w:val="19"/>
                <w:szCs w:val="19"/>
              </w:rPr>
              <w:t>76</w:t>
            </w:r>
          </w:p>
        </w:tc>
        <w:tc>
          <w:tcPr>
            <w:tcW w:w="4159" w:type="dxa"/>
            <w:vAlign w:val="top"/>
          </w:tcPr>
          <w:p w14:paraId="6B4FD266">
            <w:pPr>
              <w:pStyle w:val="20"/>
              <w:spacing w:before="245" w:line="219" w:lineRule="auto"/>
              <w:ind w:left="86"/>
              <w:rPr>
                <w:rFonts w:hint="eastAsia" w:ascii="宋体" w:hAnsi="宋体" w:eastAsia="宋体" w:cs="宋体"/>
                <w:sz w:val="19"/>
                <w:szCs w:val="19"/>
              </w:rPr>
            </w:pPr>
            <w:r>
              <w:rPr>
                <w:rFonts w:hint="eastAsia" w:ascii="宋体" w:hAnsi="宋体" w:eastAsia="宋体" w:cs="宋体"/>
                <w:spacing w:val="1"/>
                <w:sz w:val="19"/>
                <w:szCs w:val="19"/>
              </w:rPr>
              <w:t>缓冲器固定：无松动</w:t>
            </w:r>
          </w:p>
        </w:tc>
      </w:tr>
      <w:tr w14:paraId="295AC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624" w:type="dxa"/>
            <w:vAlign w:val="top"/>
          </w:tcPr>
          <w:p w14:paraId="32604FB2">
            <w:pPr>
              <w:pStyle w:val="20"/>
              <w:spacing w:before="265"/>
              <w:ind w:left="95"/>
              <w:jc w:val="center"/>
              <w:rPr>
                <w:rFonts w:hint="eastAsia" w:ascii="宋体" w:hAnsi="宋体" w:eastAsia="宋体" w:cs="宋体"/>
                <w:sz w:val="19"/>
                <w:szCs w:val="19"/>
              </w:rPr>
            </w:pPr>
            <w:r>
              <w:rPr>
                <w:rFonts w:hint="eastAsia" w:ascii="宋体" w:hAnsi="宋体" w:eastAsia="宋体" w:cs="宋体"/>
                <w:spacing w:val="-3"/>
                <w:sz w:val="19"/>
                <w:szCs w:val="19"/>
              </w:rPr>
              <w:t>37</w:t>
            </w:r>
          </w:p>
        </w:tc>
        <w:tc>
          <w:tcPr>
            <w:tcW w:w="3764" w:type="dxa"/>
            <w:vAlign w:val="top"/>
          </w:tcPr>
          <w:p w14:paraId="6CD16BF2">
            <w:pPr>
              <w:pStyle w:val="20"/>
              <w:spacing w:before="246" w:line="219" w:lineRule="auto"/>
              <w:jc w:val="center"/>
              <w:rPr>
                <w:rFonts w:hint="eastAsia" w:ascii="宋体" w:hAnsi="宋体" w:eastAsia="宋体" w:cs="宋体"/>
                <w:sz w:val="19"/>
                <w:szCs w:val="19"/>
              </w:rPr>
            </w:pPr>
            <w:r>
              <w:rPr>
                <w:rFonts w:hint="eastAsia" w:ascii="宋体" w:hAnsi="宋体" w:eastAsia="宋体" w:cs="宋体"/>
                <w:spacing w:val="-7"/>
                <w:sz w:val="19"/>
                <w:szCs w:val="19"/>
              </w:rPr>
              <w:t>限速器轮槽、限速器钢丝绳清洁，无严重油腻</w:t>
            </w:r>
          </w:p>
        </w:tc>
        <w:tc>
          <w:tcPr>
            <w:tcW w:w="491" w:type="dxa"/>
            <w:vAlign w:val="top"/>
          </w:tcPr>
          <w:p w14:paraId="6BB7FB68">
            <w:pPr>
              <w:pStyle w:val="20"/>
              <w:spacing w:before="265"/>
              <w:ind w:left="75"/>
              <w:jc w:val="both"/>
              <w:rPr>
                <w:rFonts w:hint="eastAsia" w:ascii="宋体" w:hAnsi="宋体" w:eastAsia="宋体" w:cs="宋体"/>
                <w:sz w:val="19"/>
                <w:szCs w:val="19"/>
              </w:rPr>
            </w:pPr>
            <w:r>
              <w:rPr>
                <w:rFonts w:hint="eastAsia" w:ascii="宋体" w:hAnsi="宋体" w:eastAsia="宋体" w:cs="宋体"/>
                <w:spacing w:val="-3"/>
                <w:sz w:val="19"/>
                <w:szCs w:val="19"/>
              </w:rPr>
              <w:t>77</w:t>
            </w:r>
          </w:p>
        </w:tc>
        <w:tc>
          <w:tcPr>
            <w:tcW w:w="4159" w:type="dxa"/>
            <w:vAlign w:val="top"/>
          </w:tcPr>
          <w:p w14:paraId="30D3C861">
            <w:pPr>
              <w:pStyle w:val="20"/>
              <w:spacing w:before="97" w:line="268" w:lineRule="auto"/>
              <w:ind w:left="86"/>
              <w:rPr>
                <w:rFonts w:hint="eastAsia" w:ascii="宋体" w:hAnsi="宋体" w:eastAsia="宋体" w:cs="宋体"/>
                <w:sz w:val="19"/>
                <w:szCs w:val="19"/>
              </w:rPr>
            </w:pPr>
            <w:r>
              <w:rPr>
                <w:rFonts w:hint="eastAsia" w:ascii="宋体" w:hAnsi="宋体" w:eastAsia="宋体" w:cs="宋体"/>
                <w:spacing w:val="-18"/>
                <w:sz w:val="19"/>
                <w:szCs w:val="19"/>
              </w:rPr>
              <w:t>轿厢内安全</w:t>
            </w:r>
            <w:r>
              <w:rPr>
                <w:rFonts w:hint="eastAsia" w:ascii="宋体" w:hAnsi="宋体" w:eastAsia="宋体" w:cs="宋体"/>
                <w:spacing w:val="-17"/>
                <w:sz w:val="19"/>
                <w:szCs w:val="19"/>
              </w:rPr>
              <w:t>标识、年检标志、报警说明、厅门锁孔</w:t>
            </w:r>
            <w:r>
              <w:rPr>
                <w:rFonts w:hint="eastAsia" w:ascii="宋体" w:hAnsi="宋体" w:eastAsia="宋体" w:cs="宋体"/>
                <w:spacing w:val="-12"/>
                <w:sz w:val="19"/>
                <w:szCs w:val="19"/>
              </w:rPr>
              <w:t>安</w:t>
            </w:r>
            <w:r>
              <w:rPr>
                <w:rFonts w:hint="eastAsia" w:ascii="宋体" w:hAnsi="宋体" w:eastAsia="宋体" w:cs="宋体"/>
                <w:spacing w:val="9"/>
                <w:sz w:val="19"/>
                <w:szCs w:val="19"/>
              </w:rPr>
              <w:t xml:space="preserve"> </w:t>
            </w:r>
            <w:r>
              <w:rPr>
                <w:rFonts w:hint="eastAsia" w:ascii="宋体" w:hAnsi="宋体" w:eastAsia="宋体" w:cs="宋体"/>
                <w:spacing w:val="-2"/>
                <w:sz w:val="19"/>
                <w:szCs w:val="19"/>
              </w:rPr>
              <w:t>全标识齐全有效</w:t>
            </w:r>
          </w:p>
        </w:tc>
      </w:tr>
      <w:tr w14:paraId="6DB91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624" w:type="dxa"/>
            <w:vAlign w:val="top"/>
          </w:tcPr>
          <w:p w14:paraId="629C931A">
            <w:pPr>
              <w:pStyle w:val="20"/>
              <w:spacing w:before="196" w:line="183" w:lineRule="auto"/>
              <w:ind w:left="84"/>
              <w:jc w:val="center"/>
              <w:rPr>
                <w:rFonts w:hint="eastAsia" w:ascii="宋体" w:hAnsi="宋体" w:eastAsia="宋体" w:cs="宋体"/>
                <w:sz w:val="19"/>
                <w:szCs w:val="19"/>
              </w:rPr>
            </w:pPr>
            <w:r>
              <w:rPr>
                <w:rFonts w:hint="eastAsia" w:ascii="宋体" w:hAnsi="宋体" w:eastAsia="宋体" w:cs="宋体"/>
                <w:spacing w:val="-3"/>
                <w:sz w:val="19"/>
                <w:szCs w:val="19"/>
              </w:rPr>
              <w:t>38</w:t>
            </w:r>
          </w:p>
        </w:tc>
        <w:tc>
          <w:tcPr>
            <w:tcW w:w="3764" w:type="dxa"/>
            <w:vAlign w:val="top"/>
          </w:tcPr>
          <w:p w14:paraId="1617B03A">
            <w:pPr>
              <w:pStyle w:val="20"/>
              <w:spacing w:before="107" w:line="219" w:lineRule="auto"/>
              <w:jc w:val="center"/>
              <w:rPr>
                <w:rFonts w:hint="eastAsia" w:ascii="宋体" w:hAnsi="宋体" w:eastAsia="宋体" w:cs="宋体"/>
                <w:sz w:val="19"/>
                <w:szCs w:val="19"/>
              </w:rPr>
            </w:pPr>
            <w:r>
              <w:rPr>
                <w:rFonts w:hint="eastAsia" w:ascii="宋体" w:hAnsi="宋体" w:eastAsia="宋体" w:cs="宋体"/>
                <w:spacing w:val="-7"/>
                <w:sz w:val="19"/>
                <w:szCs w:val="19"/>
              </w:rPr>
              <w:t>靴衬、滚轮清洁，磨损量不超过制造单位要求</w:t>
            </w:r>
          </w:p>
        </w:tc>
        <w:tc>
          <w:tcPr>
            <w:tcW w:w="491" w:type="dxa"/>
            <w:vAlign w:val="top"/>
          </w:tcPr>
          <w:p w14:paraId="755FA572">
            <w:pPr>
              <w:jc w:val="both"/>
              <w:rPr>
                <w:rFonts w:hint="eastAsia" w:ascii="宋体" w:hAnsi="宋体" w:eastAsia="宋体" w:cs="宋体"/>
                <w:sz w:val="19"/>
                <w:szCs w:val="19"/>
              </w:rPr>
            </w:pPr>
          </w:p>
        </w:tc>
        <w:tc>
          <w:tcPr>
            <w:tcW w:w="4159" w:type="dxa"/>
            <w:vAlign w:val="top"/>
          </w:tcPr>
          <w:p w14:paraId="448C6B32">
            <w:pPr>
              <w:rPr>
                <w:rFonts w:hint="eastAsia" w:ascii="宋体" w:hAnsi="宋体" w:eastAsia="宋体" w:cs="宋体"/>
                <w:sz w:val="19"/>
                <w:szCs w:val="19"/>
              </w:rPr>
            </w:pPr>
          </w:p>
        </w:tc>
      </w:tr>
    </w:tbl>
    <w:p w14:paraId="3D271482">
      <w:pPr>
        <w:rPr>
          <w:rFonts w:ascii="Arial" w:hAnsi="Arial" w:eastAsia="Arial" w:cs="Arial"/>
          <w:sz w:val="21"/>
          <w:szCs w:val="21"/>
        </w:rPr>
      </w:pPr>
    </w:p>
    <w:p w14:paraId="19227F99">
      <w:pPr>
        <w:ind w:firstLine="380" w:firstLineChars="200"/>
        <w:rPr>
          <w:rFonts w:hint="eastAsia" w:ascii="宋体" w:hAnsi="宋体" w:eastAsia="宋体" w:cs="宋体"/>
          <w:sz w:val="19"/>
          <w:szCs w:val="19"/>
          <w:lang w:val="en-US" w:eastAsia="zh-CN"/>
        </w:rPr>
      </w:pPr>
      <w:r>
        <w:rPr>
          <w:rFonts w:hint="eastAsia" w:ascii="宋体" w:hAnsi="宋体" w:eastAsia="宋体" w:cs="宋体"/>
          <w:sz w:val="19"/>
          <w:szCs w:val="19"/>
          <w:lang w:val="en-US" w:eastAsia="zh-CN"/>
        </w:rPr>
        <w:t>备注：</w:t>
      </w:r>
    </w:p>
    <w:p w14:paraId="3072FCDA">
      <w:pPr>
        <w:ind w:firstLine="380" w:firstLineChars="200"/>
        <w:rPr>
          <w:rFonts w:hint="eastAsia" w:ascii="宋体" w:hAnsi="宋体" w:eastAsia="宋体" w:cs="宋体"/>
          <w:sz w:val="19"/>
          <w:szCs w:val="19"/>
          <w:lang w:val="en-US" w:eastAsia="zh-CN"/>
        </w:rPr>
      </w:pPr>
      <w:r>
        <w:rPr>
          <w:rFonts w:hint="eastAsia" w:ascii="宋体" w:hAnsi="宋体" w:eastAsia="宋体" w:cs="宋体"/>
          <w:sz w:val="19"/>
          <w:szCs w:val="19"/>
          <w:lang w:val="en-US" w:eastAsia="zh-CN"/>
        </w:rPr>
        <w:t>1、如果某些电梯没有表中的项目（内容），如有的电梯不含有某种部件，项目（内容）可适当进行调整。</w:t>
      </w:r>
    </w:p>
    <w:p w14:paraId="2134CB34">
      <w:pPr>
        <w:rPr>
          <w:rFonts w:hint="eastAsia" w:ascii="宋体" w:hAnsi="宋体" w:eastAsia="宋体" w:cs="宋体"/>
          <w:sz w:val="19"/>
          <w:szCs w:val="19"/>
          <w:lang w:val="en-US" w:eastAsia="zh-CN"/>
        </w:rPr>
      </w:pPr>
      <w:r>
        <w:rPr>
          <w:rFonts w:hint="eastAsia" w:ascii="宋体" w:hAnsi="宋体" w:eastAsia="宋体" w:cs="宋体"/>
          <w:sz w:val="19"/>
          <w:szCs w:val="19"/>
          <w:lang w:val="en-US" w:eastAsia="zh-CN"/>
        </w:rPr>
        <w:t xml:space="preserve">    2、维护保养项目（内容）和要求中对测试、试验有明确规定的，应当按照规定进行测试、试验，没有明确规定的，一般为检查、调整、清洁和润滑。</w:t>
      </w:r>
    </w:p>
    <w:p w14:paraId="2296D5B0">
      <w:pPr>
        <w:rPr>
          <w:rFonts w:hint="eastAsia" w:ascii="宋体" w:hAnsi="宋体" w:eastAsia="宋体" w:cs="宋体"/>
          <w:sz w:val="19"/>
          <w:szCs w:val="19"/>
          <w:lang w:val="en-US" w:eastAsia="zh-CN"/>
        </w:rPr>
      </w:pPr>
      <w:r>
        <w:rPr>
          <w:rFonts w:hint="eastAsia" w:ascii="宋体" w:hAnsi="宋体" w:eastAsia="宋体" w:cs="宋体"/>
          <w:sz w:val="19"/>
          <w:szCs w:val="19"/>
          <w:lang w:val="en-US" w:eastAsia="zh-CN"/>
        </w:rPr>
        <w:t xml:space="preserve">    3、维护保养基本要求中，规定为“符合标准值”的，是指符合对应的国家标准、行业标准和制造单位要求。</w:t>
      </w:r>
    </w:p>
    <w:p w14:paraId="27C77442">
      <w:pPr>
        <w:ind w:firstLine="380" w:firstLineChars="200"/>
        <w:rPr>
          <w:rFonts w:hint="eastAsia" w:ascii="宋体" w:hAnsi="宋体" w:eastAsia="宋体" w:cs="宋体"/>
          <w:sz w:val="19"/>
          <w:szCs w:val="19"/>
          <w:lang w:val="en-US" w:eastAsia="zh-CN"/>
        </w:rPr>
      </w:pPr>
      <w:r>
        <w:rPr>
          <w:rFonts w:hint="eastAsia" w:ascii="宋体" w:hAnsi="宋体" w:eastAsia="宋体" w:cs="宋体"/>
          <w:sz w:val="19"/>
          <w:szCs w:val="19"/>
          <w:lang w:val="en-US" w:eastAsia="zh-CN"/>
        </w:rPr>
        <w:t>4、维护保养基本要求中，规定为“制造单位要求”的，按照制造单位的要求，其他没有明确“要求”的，应当为安全技术规范、标准或者制造单位等的要求。</w:t>
      </w:r>
    </w:p>
    <w:p w14:paraId="44FE25EA">
      <w:pPr>
        <w:spacing w:line="600" w:lineRule="exact"/>
        <w:ind w:firstLine="640" w:firstLineChars="200"/>
        <w:rPr>
          <w:rFonts w:hint="eastAsia" w:ascii="仿宋" w:hAnsi="仿宋" w:eastAsia="仿宋" w:cs="仿宋"/>
          <w:b w:val="0"/>
          <w:bCs w:val="0"/>
          <w:color w:val="333333"/>
          <w:kern w:val="0"/>
          <w:sz w:val="28"/>
          <w:szCs w:val="28"/>
          <w:lang w:val="en-US" w:eastAsia="zh-CN"/>
        </w:rPr>
      </w:pP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val="en-US" w:eastAsia="zh-CN"/>
        </w:rPr>
        <w:t>四</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color w:val="333333"/>
          <w:kern w:val="0"/>
          <w:sz w:val="32"/>
          <w:szCs w:val="32"/>
        </w:rPr>
        <w:t>总体商务、服务要求及履约主要条款（实质性要求）：</w:t>
      </w:r>
    </w:p>
    <w:p w14:paraId="622508A5">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rPr>
      </w:pPr>
      <w:r>
        <w:rPr>
          <w:rFonts w:hint="eastAsia" w:ascii="仿宋_GB2312" w:hAnsi="仿宋_GB2312" w:eastAsia="仿宋_GB2312" w:cs="仿宋_GB2312"/>
          <w:b w:val="0"/>
          <w:bCs w:val="0"/>
          <w:color w:val="auto"/>
          <w:kern w:val="0"/>
          <w:sz w:val="32"/>
          <w:szCs w:val="32"/>
          <w:shd w:val="clear" w:color="auto" w:fill="auto"/>
          <w:lang w:val="en-US" w:eastAsia="zh-CN"/>
        </w:rPr>
        <w:t>1、服务期限：自合同签订之日起3年。</w:t>
      </w:r>
    </w:p>
    <w:p w14:paraId="16797A05">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2、付款方式</w:t>
      </w:r>
    </w:p>
    <w:p w14:paraId="62E4456D">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（1）在合同签定三个月后的五个工作日内支付工程总费用50%,合同期满后的30个工作日内一次性付清余款。</w:t>
      </w:r>
    </w:p>
    <w:p w14:paraId="50796A40">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rPr>
      </w:pPr>
      <w:r>
        <w:rPr>
          <w:rFonts w:hint="eastAsia" w:ascii="仿宋_GB2312" w:hAnsi="仿宋_GB2312" w:eastAsia="仿宋_GB2312" w:cs="仿宋_GB2312"/>
          <w:b w:val="0"/>
          <w:bCs w:val="0"/>
          <w:color w:val="auto"/>
          <w:kern w:val="0"/>
          <w:sz w:val="32"/>
          <w:szCs w:val="32"/>
          <w:shd w:val="clear" w:color="auto" w:fill="auto"/>
          <w:lang w:val="en-US" w:eastAsia="zh-CN"/>
        </w:rPr>
        <w:t>（2）供应商</w:t>
      </w:r>
      <w:r>
        <w:rPr>
          <w:rFonts w:hint="eastAsia" w:ascii="仿宋_GB2312" w:hAnsi="仿宋_GB2312" w:eastAsia="仿宋_GB2312" w:cs="仿宋_GB2312"/>
          <w:b w:val="0"/>
          <w:bCs w:val="0"/>
          <w:color w:val="auto"/>
          <w:kern w:val="0"/>
          <w:sz w:val="32"/>
          <w:szCs w:val="32"/>
          <w:shd w:val="clear" w:color="auto" w:fill="auto"/>
        </w:rPr>
        <w:t>需向采购人出具合法、有效、完整的完税发票及凭证资料</w:t>
      </w:r>
      <w:r>
        <w:rPr>
          <w:rFonts w:hint="eastAsia" w:ascii="仿宋_GB2312" w:hAnsi="仿宋_GB2312" w:eastAsia="仿宋_GB2312" w:cs="仿宋_GB2312"/>
          <w:b w:val="0"/>
          <w:bCs w:val="0"/>
          <w:color w:val="auto"/>
          <w:kern w:val="0"/>
          <w:sz w:val="32"/>
          <w:szCs w:val="32"/>
          <w:shd w:val="clear" w:color="auto" w:fill="auto"/>
          <w:lang w:val="en-US" w:eastAsia="zh-CN"/>
        </w:rPr>
        <w:t>进行</w:t>
      </w:r>
      <w:r>
        <w:rPr>
          <w:rFonts w:hint="eastAsia" w:ascii="仿宋_GB2312" w:hAnsi="仿宋_GB2312" w:eastAsia="仿宋_GB2312" w:cs="仿宋_GB2312"/>
          <w:b w:val="0"/>
          <w:bCs w:val="0"/>
          <w:color w:val="auto"/>
          <w:kern w:val="0"/>
          <w:sz w:val="32"/>
          <w:szCs w:val="32"/>
          <w:shd w:val="clear" w:color="auto" w:fill="auto"/>
        </w:rPr>
        <w:t>支付结算。</w:t>
      </w:r>
    </w:p>
    <w:p w14:paraId="65E54B78">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3、报价要求：供应商应进行分项报价，所报单价不得超过各品类单价限价。</w:t>
      </w:r>
      <w:r>
        <w:rPr>
          <w:rFonts w:hint="eastAsia" w:ascii="仿宋_GB2312" w:hAnsi="仿宋_GB2312" w:eastAsia="仿宋_GB2312" w:cs="仿宋_GB2312"/>
          <w:b w:val="0"/>
          <w:bCs w:val="0"/>
          <w:color w:val="auto"/>
          <w:kern w:val="0"/>
          <w:sz w:val="32"/>
          <w:szCs w:val="32"/>
          <w:shd w:val="clear" w:color="auto" w:fill="auto"/>
        </w:rPr>
        <w:t>所有报价均用人民币表示,投标总报价一次报定，包括电梯维保服务，含保险、税金、培训、日常养护、辅助材料、专用工具、报关等费用</w:t>
      </w:r>
      <w:r>
        <w:rPr>
          <w:rFonts w:hint="eastAsia" w:ascii="仿宋_GB2312" w:hAnsi="仿宋_GB2312" w:eastAsia="仿宋_GB2312" w:cs="仿宋_GB2312"/>
          <w:b w:val="0"/>
          <w:bCs w:val="0"/>
          <w:color w:val="auto"/>
          <w:kern w:val="0"/>
          <w:sz w:val="32"/>
          <w:szCs w:val="32"/>
          <w:shd w:val="clear" w:color="auto" w:fill="auto"/>
          <w:lang w:eastAsia="zh-CN"/>
        </w:rPr>
        <w:t>，</w:t>
      </w:r>
      <w:r>
        <w:rPr>
          <w:rFonts w:hint="eastAsia" w:ascii="仿宋_GB2312" w:hAnsi="仿宋_GB2312" w:eastAsia="仿宋_GB2312" w:cs="仿宋_GB2312"/>
          <w:b w:val="0"/>
          <w:bCs w:val="0"/>
          <w:color w:val="auto"/>
          <w:kern w:val="0"/>
          <w:sz w:val="32"/>
          <w:szCs w:val="32"/>
          <w:shd w:val="clear" w:color="auto" w:fill="auto"/>
          <w:lang w:val="en-US" w:eastAsia="zh-CN"/>
        </w:rPr>
        <w:t>同时需附各类原厂零部件价格清单及供货时间。</w:t>
      </w:r>
    </w:p>
    <w:p w14:paraId="4EA09A42">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4、保养具体要求</w:t>
      </w:r>
    </w:p>
    <w:p w14:paraId="1BD3C425">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（1）中标方服务人员按照保养要求进行检查、调试、维护、维修，以确保电梯处于良好状态，所有机组的正常运行，在维保期内的电梯安全责任由中标方承担。</w:t>
      </w:r>
    </w:p>
    <w:p w14:paraId="5AC1241C">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（2）中标人须保证一次性通过年检并取得合格证，年检费用由中标方承担；对于使用年限不超过15年的限速器，每2年进行一次检测；对于使用年限超过15年的限速器，每年进行一次检测，费用由由中标人承担。</w:t>
      </w:r>
    </w:p>
    <w:p w14:paraId="7382035B">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（3）中标人须每月对每台机组进行至少二次(每隔15天)检查保养，保养符合行业安全运行标准。</w:t>
      </w:r>
    </w:p>
    <w:p w14:paraId="5B91AF1B">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（4）中标人须将保养单交至电梯管理人，由管理单位电梯负责人签字。保养任务的完成与否，以保养单为准。</w:t>
      </w:r>
    </w:p>
    <w:p w14:paraId="107EC11C">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（5）中标人须在保养时设置现场安全警示标志。</w:t>
      </w:r>
    </w:p>
    <w:p w14:paraId="4A328EEC">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（6）中标人应免费提供例行保养所需的人工及润滑油、润滑脂和清洁材料等。</w:t>
      </w:r>
    </w:p>
    <w:p w14:paraId="02CF863D">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（7）须提供24小时的应急响应服务，且能在接到故障或事故报警后40分钟内到达现场，并能提供正常连续的服务直至故障或事故排除。对电梯困人事故要求在30分</w:t>
      </w:r>
      <w:bookmarkStart w:id="0" w:name="_GoBack"/>
      <w:bookmarkEnd w:id="0"/>
      <w:r>
        <w:rPr>
          <w:rFonts w:hint="eastAsia" w:ascii="仿宋_GB2312" w:hAnsi="仿宋_GB2312" w:eastAsia="仿宋_GB2312" w:cs="仿宋_GB2312"/>
          <w:b w:val="0"/>
          <w:bCs w:val="0"/>
          <w:color w:val="auto"/>
          <w:kern w:val="0"/>
          <w:sz w:val="32"/>
          <w:szCs w:val="32"/>
          <w:shd w:val="clear" w:color="auto" w:fill="auto"/>
          <w:lang w:val="en-US" w:eastAsia="zh-CN"/>
        </w:rPr>
        <w:t>钟内到达现场，10分钟内把乘客从轿厢中救出。对非电子板原因的常见故障要求在60分钟内排除，对电子板原因的故障应在行业内普遍认可的合理时间内解决。</w:t>
      </w:r>
    </w:p>
    <w:p w14:paraId="19CBF637">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8）中标人负责免费提供、维修、更换除曳引轮、主机马达、主驱动变频器、钢丝绳以外所有含维修费用200元（含）人民币以内原厂零部件(不可抗力情况除外)。对更换下来的电子器件应由甲方保管或由甲方与维保单位共同销毁。如有必要更换超过200元的电梯零件，包括非常规修理(急修), 应及时通知甲方，零件由中标方优先供应，乙方只收取零件成本费。</w:t>
      </w:r>
    </w:p>
    <w:p w14:paraId="1B7B9A9F">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（9）若中标方人员在维保或应急服务工作过程中因疏忽或失职，造成甲方电梯设备的损害及人员伤残的，中标方负责赔偿。</w:t>
      </w:r>
    </w:p>
    <w:p w14:paraId="24B36972">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（10）若出现以下情况，则在结算时按次数进行处罚：</w:t>
      </w:r>
    </w:p>
    <w:p w14:paraId="3C9A9340">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1)未完成保养任务，扣除总维保费的10%；</w:t>
      </w:r>
    </w:p>
    <w:p w14:paraId="27CABE6F">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2)电梯出现紧急情况，如困人，未按要求到达现场每次处1000元罚款；</w:t>
      </w:r>
    </w:p>
    <w:p w14:paraId="3464568C">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3)电梯非正常运行或因故障连续停止运行三天以上，每次处1000元罚款；</w:t>
      </w:r>
    </w:p>
    <w:p w14:paraId="4A9F0A62">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4）一般故障维修严重超期，或因配件延误严重超期，每次处1000元罚款；5)由于中标方疏忽或失职，造成设备损坏、人员伤残等不良后果的，除按规定赔偿外，另外处1000元罚款；</w:t>
      </w:r>
    </w:p>
    <w:p w14:paraId="3982AF84">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（11）中标人须提供24小时维修服务，在非正常时间内进行保养服务时，不再加收其他费用。</w:t>
      </w:r>
    </w:p>
    <w:p w14:paraId="3830C820">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（12）中标方应每季度给甲方工作人员给予电梯知识、电梯操作、电梯应急情况处理等方面提供1次培训，每次不得少于2个课时。</w:t>
      </w:r>
    </w:p>
    <w:p w14:paraId="601AB898">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13）投标人中标后，须委派专业维修人员在夹江县区域内24小时驻足。驻点服务的人员数量按每30台不少于1人标准配备（但修理时须有2人及以上持证人员在场），并提供驻点人员的姓名、通迅号码并提供他们有效的特种设备作业人员资格证书复印件（须加盖聘用单位印章及社保证明并每三月更新一次）</w:t>
      </w:r>
    </w:p>
    <w:p w14:paraId="011421BF">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（14）中标方维护保养人员进入医院内进行维修保养工作时必须佩带正式工人证件并遵守医院的有关规定及管理制度，由于中标方原因出现非法违章作业，一切后果由中标方承担。</w:t>
      </w:r>
    </w:p>
    <w:p w14:paraId="7A37CB8C">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（15）在日常维护保养期届满时，须经法定定期检验并无因维护保养原因的不合格项目存在。</w:t>
      </w:r>
    </w:p>
    <w:p w14:paraId="5FEDC22B">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（16）保证在任何情况下不损坏甲方及业主或他人的任何设施、财产，若发生并查证确属中标方原因造成的损坏，中标方应负责给予修复、更换和赔偿。</w:t>
      </w:r>
    </w:p>
    <w:p w14:paraId="4E223D04">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（17）中标方维护保养的电梯无法通过相关单位检查、验收的，由中标方负责，并承担法律责任和经济处罚。</w:t>
      </w:r>
    </w:p>
    <w:p w14:paraId="63B1E474">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 xml:space="preserve">（18）中标方工作人员应注意安全操作，如发生人身伤亡、财产损失由中标方承担相应责任。 </w:t>
      </w:r>
    </w:p>
    <w:p w14:paraId="31201EDA">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（19）如因使用不当造成电梯故障或损坏，中标单位有责任及时将其修复，使电梯恢复安全、正常运行。</w:t>
      </w:r>
    </w:p>
    <w:p w14:paraId="4D78B34F">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（20）200元（含）人民币以内的维修招标人将不再另外支付维修费用，中标方保证及时供应及提供送货上门服务；所有配件必须是原厂家生产。投标时请提供原厂零部件价格清单，若不提供按无效标处理。</w:t>
      </w:r>
    </w:p>
    <w:p w14:paraId="48248CDF">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（21）日常维护保养应遵守的标准</w:t>
      </w:r>
    </w:p>
    <w:p w14:paraId="2697CC77">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1）电梯使用管理与维修保养规则TSG T5001-2009</w:t>
      </w:r>
    </w:p>
    <w:p w14:paraId="5CF91C3D">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 xml:space="preserve">2)地方电梯维修保养安全管理规范 </w:t>
      </w:r>
    </w:p>
    <w:p w14:paraId="43F202E7">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3)电梯维修规范GB/T18775-2002</w:t>
      </w:r>
    </w:p>
    <w:p w14:paraId="5CE49084">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4)电梯安装使用维护说明书</w:t>
      </w:r>
    </w:p>
    <w:p w14:paraId="2911B55E">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pPr>
      <w:r>
        <w:rPr>
          <w:rFonts w:hint="eastAsia" w:ascii="仿宋_GB2312" w:hAnsi="仿宋_GB2312" w:eastAsia="仿宋_GB2312" w:cs="仿宋_GB2312"/>
          <w:b w:val="0"/>
          <w:bCs w:val="0"/>
          <w:color w:val="auto"/>
          <w:kern w:val="0"/>
          <w:sz w:val="32"/>
          <w:szCs w:val="32"/>
          <w:shd w:val="clear" w:color="auto" w:fill="auto"/>
          <w:lang w:val="en-US" w:eastAsia="zh-CN"/>
        </w:rPr>
        <w:t>5)维保合同</w:t>
      </w:r>
    </w:p>
    <w:p w14:paraId="5C0401A6">
      <w:pPr>
        <w:spacing w:line="600" w:lineRule="exact"/>
        <w:ind w:firstLine="640" w:firstLineChars="200"/>
        <w:rPr>
          <w:rFonts w:hint="eastAsia" w:ascii="仿宋_GB2312" w:hAnsi="仿宋_GB2312" w:eastAsia="仿宋_GB2312" w:cs="仿宋_GB2312"/>
          <w:b w:val="0"/>
          <w:bCs w:val="0"/>
          <w:color w:val="auto"/>
          <w:kern w:val="0"/>
          <w:sz w:val="32"/>
          <w:szCs w:val="32"/>
          <w:shd w:val="clear" w:color="auto" w:fill="auto"/>
          <w:lang w:val="en-US" w:eastAsia="zh-CN"/>
        </w:rPr>
        <w:sectPr>
          <w:pgSz w:w="11940" w:h="16860"/>
          <w:pgMar w:top="2098" w:right="1474" w:bottom="1984" w:left="1587" w:header="0" w:footer="0" w:gutter="0"/>
          <w:cols w:space="720" w:num="1"/>
        </w:sectPr>
      </w:pPr>
      <w:r>
        <w:rPr>
          <w:rFonts w:hint="eastAsia" w:ascii="仿宋_GB2312" w:hAnsi="仿宋_GB2312" w:eastAsia="仿宋_GB2312" w:cs="仿宋_GB2312"/>
          <w:b w:val="0"/>
          <w:bCs w:val="0"/>
          <w:color w:val="auto"/>
          <w:kern w:val="0"/>
          <w:sz w:val="32"/>
          <w:szCs w:val="32"/>
          <w:shd w:val="clear" w:color="auto" w:fill="auto"/>
          <w:lang w:val="en-US" w:eastAsia="zh-CN"/>
        </w:rPr>
        <w:t>5、其他要求：本项目不接受转包、分包或联合体投标。</w:t>
      </w:r>
    </w:p>
    <w:p w14:paraId="38213AF4">
      <w:pPr>
        <w:spacing w:line="600" w:lineRule="exact"/>
        <w:rPr>
          <w:rFonts w:hint="eastAsia" w:ascii="仿宋" w:hAnsi="仿宋" w:eastAsia="仿宋" w:cs="仿宋"/>
          <w:b w:val="0"/>
          <w:bCs w:val="0"/>
          <w:color w:val="333333"/>
          <w:kern w:val="0"/>
          <w:sz w:val="28"/>
          <w:szCs w:val="28"/>
        </w:rPr>
      </w:pPr>
    </w:p>
    <w:sectPr>
      <w:pgSz w:w="11906" w:h="16838"/>
      <w:pgMar w:top="1440" w:right="1800" w:bottom="1440" w:left="1800" w:header="0" w:footer="0" w:gutter="0"/>
      <w:cols w:space="720" w:num="1"/>
      <w:formProt w:val="0"/>
      <w:docGrid w:type="lines" w:linePitch="312" w:charSpace="919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388BC2B-C73D-47DC-95E6-39D869A06A9C}"/>
  </w:font>
  <w:font w:name="Arial">
    <w:panose1 w:val="020B0604020202020204"/>
    <w:charset w:val="01"/>
    <w:family w:val="swiss"/>
    <w:pitch w:val="default"/>
    <w:sig w:usb0="E0002EFF" w:usb1="C000785B" w:usb2="00000009" w:usb3="00000000" w:csb0="400001FF" w:csb1="FFFF0000"/>
    <w:embedRegular r:id="rId2" w:fontKey="{15FAD237-BE05-4CE3-A712-6DC9515E7860}"/>
  </w:font>
  <w:font w:name="黑体">
    <w:panose1 w:val="02010609060101010101"/>
    <w:charset w:val="86"/>
    <w:family w:val="auto"/>
    <w:pitch w:val="default"/>
    <w:sig w:usb0="800002BF" w:usb1="38CF7CFA" w:usb2="00000016" w:usb3="00000000" w:csb0="00040001" w:csb1="00000000"/>
    <w:embedRegular r:id="rId3" w:fontKey="{12199EA5-0BFF-4C0B-8618-3087589F3D85}"/>
  </w:font>
  <w:font w:name="Courier New">
    <w:panose1 w:val="02070309020205020404"/>
    <w:charset w:val="01"/>
    <w:family w:val="modern"/>
    <w:pitch w:val="default"/>
    <w:sig w:usb0="E0002EFF" w:usb1="C0007843" w:usb2="00000009" w:usb3="00000000" w:csb0="400001FF" w:csb1="FFFF0000"/>
    <w:embedRegular r:id="rId4" w:fontKey="{7E3D4EC2-E835-424D-ADD7-E8D31C77849D}"/>
  </w:font>
  <w:font w:name="Symbol">
    <w:panose1 w:val="05050102010706020507"/>
    <w:charset w:val="02"/>
    <w:family w:val="roman"/>
    <w:pitch w:val="default"/>
    <w:sig w:usb0="00000000" w:usb1="00000000" w:usb2="00000000" w:usb3="00000000" w:csb0="80000000" w:csb1="00000000"/>
    <w:embedRegular r:id="rId5" w:fontKey="{DDAD2DA9-9303-41CB-A443-1161160A6E8A}"/>
  </w:font>
  <w:font w:name="Calibri">
    <w:panose1 w:val="020F0502020204030204"/>
    <w:charset w:val="00"/>
    <w:family w:val="swiss"/>
    <w:pitch w:val="default"/>
    <w:sig w:usb0="E4002EFF" w:usb1="C000247B" w:usb2="00000009" w:usb3="00000000" w:csb0="200001FF" w:csb1="00000000"/>
    <w:embedRegular r:id="rId6" w:fontKey="{9D7127B4-9FE9-4340-8FC0-CC90B34485A7}"/>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embedRegular r:id="rId7" w:fontKey="{DE19FA8B-A46C-4559-8E1E-976BA4AE1CDA}"/>
  </w:font>
  <w:font w:name="仿宋_GB2312">
    <w:panose1 w:val="02010609030101010101"/>
    <w:charset w:val="86"/>
    <w:family w:val="auto"/>
    <w:pitch w:val="default"/>
    <w:sig w:usb0="00000001" w:usb1="080E0000" w:usb2="00000000" w:usb3="00000000" w:csb0="00040000" w:csb1="00000000"/>
    <w:embedRegular r:id="rId8" w:fontKey="{BD1EEDD4-73C2-45A4-B783-5829771B98B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0"/>
  <w:bordersDoNotSurroundFooter w:val="0"/>
  <w:documentProtection w:enforcement="0"/>
  <w:defaultTabStop w:val="420"/>
  <w:autoHyphenation/>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741F7"/>
    <w:rsid w:val="007164DE"/>
    <w:rsid w:val="01233A9E"/>
    <w:rsid w:val="01713389"/>
    <w:rsid w:val="022C7991"/>
    <w:rsid w:val="039E565E"/>
    <w:rsid w:val="03F4527E"/>
    <w:rsid w:val="05064BD8"/>
    <w:rsid w:val="062F3250"/>
    <w:rsid w:val="06571E7F"/>
    <w:rsid w:val="08442060"/>
    <w:rsid w:val="08583F5B"/>
    <w:rsid w:val="09301F33"/>
    <w:rsid w:val="09473803"/>
    <w:rsid w:val="0DA04FD5"/>
    <w:rsid w:val="0DBE36C7"/>
    <w:rsid w:val="0FB6788B"/>
    <w:rsid w:val="100C183B"/>
    <w:rsid w:val="106E2730"/>
    <w:rsid w:val="158F525C"/>
    <w:rsid w:val="168E3310"/>
    <w:rsid w:val="173D1CE3"/>
    <w:rsid w:val="199750BC"/>
    <w:rsid w:val="1BAC6694"/>
    <w:rsid w:val="1EBD0C36"/>
    <w:rsid w:val="274C20FD"/>
    <w:rsid w:val="28753A9D"/>
    <w:rsid w:val="307A31AC"/>
    <w:rsid w:val="3134522D"/>
    <w:rsid w:val="34B151B5"/>
    <w:rsid w:val="358C2F8E"/>
    <w:rsid w:val="358F4C83"/>
    <w:rsid w:val="37D8491D"/>
    <w:rsid w:val="3B464036"/>
    <w:rsid w:val="3BC53906"/>
    <w:rsid w:val="3BF82E56"/>
    <w:rsid w:val="3D2E2FD3"/>
    <w:rsid w:val="3EF55704"/>
    <w:rsid w:val="45800144"/>
    <w:rsid w:val="4A7C032D"/>
    <w:rsid w:val="4D1F7745"/>
    <w:rsid w:val="522F5A32"/>
    <w:rsid w:val="55A27C63"/>
    <w:rsid w:val="57A31A70"/>
    <w:rsid w:val="58FA3876"/>
    <w:rsid w:val="5B597015"/>
    <w:rsid w:val="5E2F7E9A"/>
    <w:rsid w:val="63B5571F"/>
    <w:rsid w:val="64FB04B9"/>
    <w:rsid w:val="65053D6A"/>
    <w:rsid w:val="69D72179"/>
    <w:rsid w:val="71E2519E"/>
    <w:rsid w:val="72DD5881"/>
    <w:rsid w:val="762E0B49"/>
    <w:rsid w:val="794833EF"/>
    <w:rsid w:val="79765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12"/>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font01"/>
    <w:basedOn w:val="7"/>
    <w:qFormat/>
    <w:uiPriority w:val="0"/>
    <w:rPr>
      <w:rFonts w:ascii="宋体" w:hAnsi="宋体" w:eastAsia="宋体" w:cs="宋体"/>
      <w:color w:val="000000"/>
      <w:sz w:val="24"/>
      <w:szCs w:val="24"/>
      <w:u w:val="none"/>
    </w:rPr>
  </w:style>
  <w:style w:type="character" w:customStyle="1" w:styleId="9">
    <w:name w:val="font91"/>
    <w:basedOn w:val="7"/>
    <w:qFormat/>
    <w:uiPriority w:val="0"/>
    <w:rPr>
      <w:rFonts w:ascii="MingLiU" w:hAnsi="MingLiU" w:eastAsia="MingLiU" w:cs="MingLiU"/>
      <w:color w:val="000000"/>
      <w:sz w:val="24"/>
      <w:szCs w:val="24"/>
      <w:u w:val="none"/>
    </w:rPr>
  </w:style>
  <w:style w:type="character" w:customStyle="1" w:styleId="10">
    <w:name w:val="font71"/>
    <w:basedOn w:val="7"/>
    <w:qFormat/>
    <w:uiPriority w:val="0"/>
    <w:rPr>
      <w:rFonts w:ascii="宋体" w:hAnsi="宋体" w:eastAsia="宋体" w:cs="宋体"/>
      <w:color w:val="FF0000"/>
      <w:sz w:val="24"/>
      <w:szCs w:val="24"/>
      <w:u w:val="none"/>
    </w:rPr>
  </w:style>
  <w:style w:type="character" w:customStyle="1" w:styleId="11">
    <w:name w:val="页眉 Char"/>
    <w:basedOn w:val="7"/>
    <w:link w:val="3"/>
    <w:qFormat/>
    <w:uiPriority w:val="0"/>
    <w:rPr>
      <w:rFonts w:asciiTheme="minorHAnsi" w:hAnsiTheme="minorHAnsi" w:eastAsiaTheme="minorEastAsia" w:cstheme="minorBidi"/>
      <w:kern w:val="2"/>
      <w:sz w:val="18"/>
      <w:szCs w:val="18"/>
      <w:lang w:bidi="ar-SA"/>
    </w:rPr>
  </w:style>
  <w:style w:type="character" w:customStyle="1" w:styleId="12">
    <w:name w:val="页脚 Char"/>
    <w:basedOn w:val="7"/>
    <w:link w:val="2"/>
    <w:qFormat/>
    <w:uiPriority w:val="0"/>
    <w:rPr>
      <w:rFonts w:asciiTheme="minorHAnsi" w:hAnsiTheme="minorHAnsi" w:eastAsiaTheme="minorEastAsia" w:cstheme="minorBidi"/>
      <w:kern w:val="2"/>
      <w:sz w:val="18"/>
      <w:szCs w:val="18"/>
      <w:lang w:bidi="ar-SA"/>
    </w:rPr>
  </w:style>
  <w:style w:type="character" w:customStyle="1" w:styleId="13">
    <w:name w:val="font31"/>
    <w:basedOn w:val="7"/>
    <w:qFormat/>
    <w:uiPriority w:val="0"/>
    <w:rPr>
      <w:rFonts w:hint="eastAsia" w:ascii="宋体" w:hAnsi="宋体" w:eastAsia="宋体" w:cs="宋体"/>
      <w:color w:val="000000"/>
      <w:sz w:val="22"/>
      <w:szCs w:val="22"/>
      <w:u w:val="none"/>
    </w:rPr>
  </w:style>
  <w:style w:type="character" w:customStyle="1" w:styleId="14">
    <w:name w:val="font41"/>
    <w:basedOn w:val="7"/>
    <w:qFormat/>
    <w:uiPriority w:val="0"/>
    <w:rPr>
      <w:rFonts w:hint="eastAsia" w:ascii="宋体" w:hAnsi="宋体" w:eastAsia="宋体" w:cs="宋体"/>
      <w:color w:val="000000"/>
      <w:sz w:val="22"/>
      <w:szCs w:val="22"/>
      <w:u w:val="none"/>
    </w:rPr>
  </w:style>
  <w:style w:type="character" w:customStyle="1" w:styleId="15">
    <w:name w:val="font61"/>
    <w:basedOn w:val="7"/>
    <w:qFormat/>
    <w:uiPriority w:val="0"/>
    <w:rPr>
      <w:rFonts w:ascii="宋体" w:hAnsi="宋体" w:eastAsia="宋体" w:cs="宋体"/>
      <w:color w:val="000000"/>
      <w:sz w:val="22"/>
      <w:szCs w:val="22"/>
      <w:u w:val="none"/>
    </w:rPr>
  </w:style>
  <w:style w:type="character" w:customStyle="1" w:styleId="16">
    <w:name w:val="font51"/>
    <w:basedOn w:val="7"/>
    <w:qFormat/>
    <w:uiPriority w:val="0"/>
    <w:rPr>
      <w:rFonts w:hint="default" w:ascii="Calibri" w:hAnsi="Calibri" w:cs="Calibri"/>
      <w:color w:val="000000"/>
      <w:sz w:val="21"/>
      <w:szCs w:val="21"/>
      <w:u w:val="none"/>
    </w:rPr>
  </w:style>
  <w:style w:type="paragraph" w:customStyle="1" w:styleId="17">
    <w:name w:val="_Style 3"/>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18">
    <w:name w:val="标题 5（有编号）（绿盟科技）"/>
    <w:basedOn w:val="1"/>
    <w:next w:val="19"/>
    <w:qFormat/>
    <w:uiPriority w:val="0"/>
    <w:pPr>
      <w:keepNext/>
      <w:keepLines/>
      <w:spacing w:before="280" w:after="156" w:line="377" w:lineRule="auto"/>
      <w:jc w:val="left"/>
      <w:outlineLvl w:val="4"/>
    </w:pPr>
    <w:rPr>
      <w:rFonts w:ascii="Arial" w:hAnsi="Arial" w:eastAsia="黑体"/>
      <w:b/>
      <w:kern w:val="0"/>
      <w:sz w:val="24"/>
      <w:szCs w:val="28"/>
    </w:rPr>
  </w:style>
  <w:style w:type="paragraph" w:customStyle="1" w:styleId="19">
    <w:name w:val="正文（绿盟科技）"/>
    <w:qFormat/>
    <w:uiPriority w:val="0"/>
    <w:pPr>
      <w:spacing w:line="300" w:lineRule="auto"/>
    </w:pPr>
    <w:rPr>
      <w:rFonts w:ascii="Arial" w:hAnsi="Arial" w:eastAsia="宋体" w:cs="Times New Roman"/>
      <w:sz w:val="21"/>
      <w:szCs w:val="21"/>
      <w:lang w:val="en-US" w:eastAsia="zh-CN" w:bidi="ar-SA"/>
    </w:rPr>
  </w:style>
  <w:style w:type="paragraph" w:customStyle="1" w:styleId="20">
    <w:name w:val="Table Text"/>
    <w:basedOn w:val="1"/>
    <w:semiHidden/>
    <w:qFormat/>
    <w:uiPriority w:val="0"/>
    <w:rPr>
      <w:rFonts w:ascii="宋体" w:hAnsi="宋体" w:eastAsia="宋体" w:cs="宋体"/>
      <w:sz w:val="22"/>
      <w:szCs w:val="22"/>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6900</Words>
  <Characters>7557</Characters>
  <Lines>59</Lines>
  <Paragraphs>16</Paragraphs>
  <TotalTime>4</TotalTime>
  <ScaleCrop>false</ScaleCrop>
  <LinksUpToDate>false</LinksUpToDate>
  <CharactersWithSpaces>7651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2022-07-21T06:31:00Z</dcterms:created>
  <dc:creator>我爱罗。</dc:creator>
  <cp:lastModifiedBy>永远不见</cp:lastModifiedBy>
  <cp:lastPrinted>2023-09-22T00:30:00Z</cp:lastPrinted>
  <dcterms:modified xsi:type="dcterms:W3CDTF">2026-09-15T02:47:45Z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F3ACB9CE304541F6AFB54264D2ADC594_13</vt:lpwstr>
  </property>
  <property fmtid="{D5CDD505-2E9C-101B-9397-08002B2CF9AE}" pid="3" name="KSOProductBuildVer">
    <vt:lpwstr>2052-12.1.0.28505</vt:lpwstr>
  </property>
  <property fmtid="{D5CDD505-2E9C-101B-9397-08002B2CF9AE}" pid="4" name="KSOTemplateDocerSaveRecord">
    <vt:lpwstr>eyJoZGlkIjoiMzM1NmZmNGEwMmVkNDU5ZjVkZGFmOGZmYzU3NWVlZjQiLCJ1c2VySWQiOiI0OTcyMTY0ODYifQ==</vt:lpwstr>
  </property>
</Properties>
</file>